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09F232" w14:textId="77777777" w:rsidR="00EE5328" w:rsidRPr="00714453" w:rsidRDefault="00EE5328" w:rsidP="00EE5328">
      <w:pPr>
        <w:spacing w:after="160" w:line="264" w:lineRule="auto"/>
        <w:jc w:val="right"/>
        <w:rPr>
          <w:sz w:val="20"/>
        </w:rPr>
      </w:pPr>
      <w:r w:rsidRPr="00275F1D">
        <w:rPr>
          <w:noProof/>
          <w:lang w:eastAsia="sk-SK"/>
        </w:rPr>
        <w:t xml:space="preserve">Príloha č. </w:t>
      </w:r>
      <w:r w:rsidRPr="007632D3">
        <w:rPr>
          <w:lang w:eastAsia="sk-SK"/>
        </w:rPr>
        <w:t>10</w:t>
      </w:r>
      <w:r w:rsidRPr="00275F1D">
        <w:rPr>
          <w:noProof/>
          <w:lang w:eastAsia="sk-SK"/>
        </w:rPr>
        <w:t xml:space="preserve"> </w:t>
      </w:r>
      <w:r>
        <w:rPr>
          <w:noProof/>
          <w:lang w:eastAsia="sk-SK"/>
        </w:rPr>
        <w:t>vyzvania</w:t>
      </w:r>
    </w:p>
    <w:p w14:paraId="6D09F233" w14:textId="77777777" w:rsidR="00EE5328" w:rsidRDefault="00EE5328" w:rsidP="00EE5328">
      <w:pPr>
        <w:spacing w:after="0" w:line="240" w:lineRule="auto"/>
        <w:contextualSpacing/>
        <w:jc w:val="center"/>
        <w:rPr>
          <w:rFonts w:asciiTheme="minorHAnsi" w:hAnsiTheme="minorHAnsi" w:cstheme="minorHAnsi"/>
          <w:b/>
          <w:sz w:val="28"/>
          <w:szCs w:val="28"/>
        </w:rPr>
      </w:pPr>
    </w:p>
    <w:p w14:paraId="6D09F234" w14:textId="77777777" w:rsidR="00EE5328" w:rsidRPr="00231D9B" w:rsidRDefault="00EE5328" w:rsidP="00EE5328">
      <w:pPr>
        <w:spacing w:before="120" w:after="120"/>
        <w:jc w:val="center"/>
        <w:rPr>
          <w:rFonts w:asciiTheme="minorHAnsi" w:hAnsiTheme="minorHAnsi" w:cs="Martel Sans"/>
          <w:b/>
          <w:bCs/>
          <w:smallCaps/>
          <w:sz w:val="28"/>
          <w:szCs w:val="28"/>
        </w:rPr>
      </w:pPr>
      <w:r w:rsidRPr="00231D9B">
        <w:rPr>
          <w:rFonts w:asciiTheme="minorHAnsi" w:hAnsiTheme="minorHAnsi" w:cs="Martel Sans"/>
          <w:b/>
          <w:bCs/>
          <w:smallCaps/>
          <w:sz w:val="28"/>
          <w:szCs w:val="28"/>
        </w:rPr>
        <w:t>MINISTERSTVO VNÚTRA SLOVENSKEJ REPUBLIKY</w:t>
      </w:r>
    </w:p>
    <w:p w14:paraId="6D09F235" w14:textId="77777777" w:rsidR="00EE5328" w:rsidRPr="00231D9B" w:rsidRDefault="00EE5328" w:rsidP="00EE5328">
      <w:pPr>
        <w:spacing w:before="120" w:after="120"/>
        <w:jc w:val="center"/>
        <w:rPr>
          <w:rFonts w:asciiTheme="minorHAnsi" w:hAnsiTheme="minorHAnsi" w:cs="Martel Sans"/>
          <w:b/>
          <w:bCs/>
          <w:smallCaps/>
          <w:sz w:val="28"/>
          <w:szCs w:val="28"/>
        </w:rPr>
      </w:pPr>
      <w:r w:rsidRPr="00231D9B">
        <w:rPr>
          <w:rFonts w:asciiTheme="minorHAnsi" w:hAnsiTheme="minorHAnsi" w:cs="Martel Sans"/>
          <w:b/>
          <w:bCs/>
          <w:smallCaps/>
          <w:sz w:val="28"/>
          <w:szCs w:val="28"/>
        </w:rPr>
        <w:t>SEKCIA EURÓPSKYCH PROGRAMOV</w:t>
      </w:r>
    </w:p>
    <w:p w14:paraId="6D09F236" w14:textId="77777777" w:rsidR="00EE5328" w:rsidRPr="00231D9B" w:rsidRDefault="00EE5328" w:rsidP="00EE5328">
      <w:pPr>
        <w:spacing w:before="120" w:after="120"/>
        <w:jc w:val="center"/>
        <w:rPr>
          <w:rFonts w:asciiTheme="minorHAnsi" w:hAnsiTheme="minorHAnsi" w:cs="Martel Sans"/>
          <w:b/>
          <w:bCs/>
          <w:smallCaps/>
          <w:sz w:val="28"/>
          <w:szCs w:val="28"/>
        </w:rPr>
      </w:pPr>
      <w:r w:rsidRPr="00231D9B">
        <w:rPr>
          <w:rFonts w:asciiTheme="minorHAnsi" w:hAnsiTheme="minorHAnsi" w:cs="Martel Sans"/>
          <w:b/>
          <w:bCs/>
          <w:smallCaps/>
          <w:sz w:val="28"/>
          <w:szCs w:val="28"/>
        </w:rPr>
        <w:t>ODBOR INKLÚZIE MARGINALIZOVANÝCH RÓMSKYCH KOMUNIÍT</w:t>
      </w:r>
    </w:p>
    <w:p w14:paraId="6D09F237" w14:textId="77777777" w:rsidR="00EE5328" w:rsidRPr="00231D9B" w:rsidRDefault="00EE5328" w:rsidP="00EE5328">
      <w:pPr>
        <w:spacing w:before="120" w:after="120"/>
        <w:jc w:val="center"/>
        <w:rPr>
          <w:rFonts w:asciiTheme="minorHAnsi" w:hAnsiTheme="minorHAnsi" w:cs="Martel Sans"/>
          <w:b/>
          <w:bCs/>
          <w:smallCaps/>
          <w:sz w:val="28"/>
          <w:szCs w:val="28"/>
        </w:rPr>
      </w:pPr>
    </w:p>
    <w:p w14:paraId="6D09F238" w14:textId="77777777" w:rsidR="00EE5328" w:rsidRPr="00231D9B" w:rsidRDefault="00EE5328" w:rsidP="00EE5328">
      <w:pPr>
        <w:spacing w:before="120" w:after="120"/>
        <w:jc w:val="center"/>
        <w:rPr>
          <w:rFonts w:asciiTheme="minorHAnsi" w:hAnsiTheme="minorHAnsi" w:cs="Martel Sans"/>
          <w:b/>
          <w:sz w:val="28"/>
          <w:szCs w:val="28"/>
        </w:rPr>
      </w:pPr>
    </w:p>
    <w:p w14:paraId="6D09F239" w14:textId="77777777" w:rsidR="00EE5328" w:rsidRPr="00231D9B" w:rsidRDefault="00EE5328" w:rsidP="00EE5328">
      <w:pPr>
        <w:spacing w:before="120" w:after="120"/>
        <w:jc w:val="center"/>
        <w:rPr>
          <w:rFonts w:asciiTheme="minorHAnsi" w:hAnsiTheme="minorHAnsi" w:cs="Martel Sans"/>
          <w:b/>
          <w:sz w:val="28"/>
          <w:szCs w:val="28"/>
        </w:rPr>
      </w:pPr>
      <w:r w:rsidRPr="00357665">
        <w:rPr>
          <w:rFonts w:asciiTheme="minorHAnsi" w:hAnsiTheme="minorHAnsi" w:cs="Martel Sans"/>
          <w:b/>
          <w:noProof/>
          <w:sz w:val="28"/>
          <w:szCs w:val="28"/>
          <w:lang w:eastAsia="sk-SK"/>
        </w:rPr>
        <w:drawing>
          <wp:inline distT="0" distB="0" distL="0" distR="0" wp14:anchorId="6D09F2F2" wp14:editId="6D09F2F3">
            <wp:extent cx="688975" cy="847725"/>
            <wp:effectExtent l="0" t="0" r="0" b="9525"/>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8975" cy="847725"/>
                    </a:xfrm>
                    <a:prstGeom prst="rect">
                      <a:avLst/>
                    </a:prstGeom>
                    <a:noFill/>
                  </pic:spPr>
                </pic:pic>
              </a:graphicData>
            </a:graphic>
          </wp:inline>
        </w:drawing>
      </w:r>
    </w:p>
    <w:p w14:paraId="6D09F23A" w14:textId="77777777" w:rsidR="00EE5328" w:rsidRPr="00231D9B" w:rsidRDefault="00EE5328" w:rsidP="00EE5328">
      <w:pPr>
        <w:spacing w:before="120" w:after="120"/>
        <w:jc w:val="center"/>
        <w:rPr>
          <w:rFonts w:asciiTheme="minorHAnsi" w:hAnsiTheme="minorHAnsi" w:cs="Martel Sans"/>
          <w:b/>
          <w:sz w:val="28"/>
          <w:szCs w:val="28"/>
        </w:rPr>
      </w:pPr>
    </w:p>
    <w:p w14:paraId="6D09F23B" w14:textId="77777777" w:rsidR="00EE5328" w:rsidRPr="00231D9B" w:rsidRDefault="00EE5328" w:rsidP="00EE5328">
      <w:pPr>
        <w:spacing w:before="120" w:after="120"/>
        <w:jc w:val="center"/>
        <w:rPr>
          <w:rFonts w:asciiTheme="minorHAnsi" w:hAnsiTheme="minorHAnsi" w:cs="Martel Sans"/>
          <w:b/>
          <w:sz w:val="28"/>
          <w:szCs w:val="28"/>
        </w:rPr>
      </w:pPr>
    </w:p>
    <w:p w14:paraId="6D09F23C" w14:textId="77777777" w:rsidR="00EE5328" w:rsidRPr="00231D9B" w:rsidRDefault="00EE5328" w:rsidP="00EE5328">
      <w:pPr>
        <w:spacing w:before="120" w:after="120"/>
        <w:jc w:val="center"/>
        <w:rPr>
          <w:rFonts w:asciiTheme="minorHAnsi" w:hAnsiTheme="minorHAnsi" w:cs="Martel Sans"/>
          <w:b/>
          <w:sz w:val="28"/>
          <w:szCs w:val="28"/>
          <w:lang w:eastAsia="cs-CZ"/>
        </w:rPr>
      </w:pPr>
      <w:r w:rsidRPr="00231D9B">
        <w:rPr>
          <w:rFonts w:asciiTheme="minorHAnsi" w:hAnsiTheme="minorHAnsi" w:cs="Martel Sans"/>
          <w:b/>
          <w:sz w:val="28"/>
          <w:szCs w:val="28"/>
          <w:lang w:eastAsia="cs-CZ"/>
        </w:rPr>
        <w:t xml:space="preserve">ŠTANDARDNÁ STUPNICA JEDNOTKOVÝCH NÁKLADOV </w:t>
      </w:r>
    </w:p>
    <w:p w14:paraId="6D09F23D" w14:textId="77777777" w:rsidR="00EE5328" w:rsidRPr="00F13B1C" w:rsidRDefault="00EE5328" w:rsidP="00EE5328">
      <w:pPr>
        <w:spacing w:before="120" w:after="120"/>
        <w:jc w:val="center"/>
        <w:rPr>
          <w:rFonts w:asciiTheme="minorHAnsi" w:hAnsiTheme="minorHAnsi" w:cs="Martel Sans"/>
          <w:b/>
          <w:sz w:val="28"/>
          <w:szCs w:val="28"/>
          <w:lang w:eastAsia="cs-CZ"/>
        </w:rPr>
      </w:pPr>
      <w:r w:rsidRPr="00F13B1C">
        <w:rPr>
          <w:rFonts w:asciiTheme="minorHAnsi" w:hAnsiTheme="minorHAnsi" w:cs="Martel Sans"/>
          <w:b/>
          <w:sz w:val="28"/>
          <w:szCs w:val="28"/>
          <w:lang w:eastAsia="cs-CZ"/>
        </w:rPr>
        <w:t>pre v</w:t>
      </w:r>
      <w:r>
        <w:rPr>
          <w:rFonts w:asciiTheme="minorHAnsi" w:hAnsiTheme="minorHAnsi" w:cs="Martel Sans"/>
          <w:b/>
          <w:sz w:val="28"/>
          <w:szCs w:val="28"/>
          <w:lang w:eastAsia="cs-CZ"/>
        </w:rPr>
        <w:t>yzvanie</w:t>
      </w:r>
      <w:r w:rsidRPr="00F13B1C">
        <w:rPr>
          <w:rFonts w:asciiTheme="minorHAnsi" w:hAnsiTheme="minorHAnsi" w:cs="Martel Sans"/>
          <w:b/>
          <w:sz w:val="28"/>
          <w:szCs w:val="28"/>
          <w:lang w:eastAsia="cs-CZ"/>
        </w:rPr>
        <w:t xml:space="preserve"> na</w:t>
      </w:r>
      <w:r>
        <w:rPr>
          <w:rFonts w:asciiTheme="minorHAnsi" w:hAnsiTheme="minorHAnsi" w:cs="Martel Sans"/>
          <w:b/>
          <w:sz w:val="28"/>
          <w:szCs w:val="28"/>
          <w:lang w:eastAsia="cs-CZ"/>
        </w:rPr>
        <w:t xml:space="preserve"> predloženie žiadosti</w:t>
      </w:r>
      <w:r w:rsidRPr="00F13B1C">
        <w:rPr>
          <w:rFonts w:asciiTheme="minorHAnsi" w:hAnsiTheme="minorHAnsi" w:cs="Martel Sans"/>
          <w:b/>
          <w:sz w:val="28"/>
          <w:szCs w:val="28"/>
          <w:lang w:eastAsia="cs-CZ"/>
        </w:rPr>
        <w:t xml:space="preserve"> o nenávratný finančný príspevok</w:t>
      </w:r>
    </w:p>
    <w:p w14:paraId="6D09F23E" w14:textId="77777777" w:rsidR="00EE5328" w:rsidRPr="00231D9B" w:rsidRDefault="00EE5328" w:rsidP="00EE5328">
      <w:pPr>
        <w:spacing w:before="120" w:after="120"/>
        <w:jc w:val="center"/>
        <w:rPr>
          <w:rFonts w:asciiTheme="minorHAnsi" w:hAnsiTheme="minorHAnsi" w:cs="Martel Sans"/>
          <w:b/>
          <w:sz w:val="28"/>
          <w:szCs w:val="28"/>
          <w:lang w:eastAsia="cs-CZ"/>
        </w:rPr>
      </w:pPr>
      <w:r w:rsidRPr="00F13B1C">
        <w:rPr>
          <w:rFonts w:asciiTheme="minorHAnsi" w:hAnsiTheme="minorHAnsi" w:cs="Martel Sans"/>
          <w:b/>
          <w:sz w:val="28"/>
          <w:szCs w:val="28"/>
          <w:lang w:eastAsia="cs-CZ"/>
        </w:rPr>
        <w:t xml:space="preserve">kód </w:t>
      </w:r>
      <w:r>
        <w:rPr>
          <w:rFonts w:asciiTheme="minorHAnsi" w:hAnsiTheme="minorHAnsi" w:cs="Martel Sans"/>
          <w:b/>
          <w:sz w:val="28"/>
          <w:szCs w:val="28"/>
          <w:lang w:eastAsia="cs-CZ"/>
        </w:rPr>
        <w:t>vyzvania</w:t>
      </w:r>
      <w:r w:rsidRPr="00F13B1C">
        <w:rPr>
          <w:rFonts w:asciiTheme="minorHAnsi" w:hAnsiTheme="minorHAnsi" w:cs="Martel Sans"/>
          <w:b/>
          <w:sz w:val="28"/>
          <w:szCs w:val="28"/>
          <w:lang w:eastAsia="cs-CZ"/>
        </w:rPr>
        <w:t xml:space="preserve"> </w:t>
      </w:r>
      <w:r w:rsidRPr="007632D3">
        <w:rPr>
          <w:rFonts w:asciiTheme="minorHAnsi" w:hAnsiTheme="minorHAnsi" w:cs="Martel Sans"/>
          <w:b/>
          <w:sz w:val="28"/>
          <w:szCs w:val="28"/>
          <w:lang w:eastAsia="cs-CZ"/>
        </w:rPr>
        <w:t>OPLZNP-PO5-2017-4</w:t>
      </w:r>
    </w:p>
    <w:p w14:paraId="6D09F23F" w14:textId="77777777" w:rsidR="00EE5328" w:rsidRPr="00231D9B" w:rsidRDefault="00EE5328" w:rsidP="00EE5328">
      <w:pPr>
        <w:spacing w:before="120" w:after="120"/>
        <w:jc w:val="center"/>
        <w:rPr>
          <w:rFonts w:asciiTheme="minorHAnsi" w:hAnsiTheme="minorHAnsi" w:cs="Martel Sans"/>
          <w:b/>
          <w:sz w:val="28"/>
          <w:szCs w:val="28"/>
          <w:lang w:eastAsia="cs-CZ"/>
        </w:rPr>
      </w:pPr>
    </w:p>
    <w:p w14:paraId="6D09F240" w14:textId="77777777" w:rsidR="00EE5328" w:rsidRPr="00231D9B" w:rsidRDefault="00EE5328" w:rsidP="00EE5328">
      <w:pPr>
        <w:spacing w:before="120" w:after="120"/>
        <w:jc w:val="both"/>
        <w:rPr>
          <w:rFonts w:asciiTheme="minorHAnsi" w:hAnsiTheme="minorHAnsi" w:cs="Martel Sans"/>
          <w:b/>
          <w:sz w:val="28"/>
          <w:szCs w:val="28"/>
        </w:rPr>
      </w:pPr>
    </w:p>
    <w:p w14:paraId="6D09F241" w14:textId="77777777" w:rsidR="00EE5328" w:rsidRPr="00231D9B" w:rsidRDefault="00EE5328" w:rsidP="00EE5328">
      <w:pPr>
        <w:spacing w:before="120" w:after="120"/>
        <w:jc w:val="center"/>
        <w:rPr>
          <w:rFonts w:asciiTheme="minorHAnsi" w:hAnsiTheme="minorHAnsi" w:cs="Martel Sans"/>
          <w:b/>
          <w:sz w:val="28"/>
          <w:szCs w:val="28"/>
        </w:rPr>
      </w:pPr>
      <w:r w:rsidRPr="002A690B">
        <w:rPr>
          <w:noProof/>
          <w:lang w:eastAsia="sk-SK"/>
        </w:rPr>
        <w:drawing>
          <wp:inline distT="0" distB="0" distL="0" distR="0" wp14:anchorId="6D09F2F4" wp14:editId="6D09F2F5">
            <wp:extent cx="5760720" cy="402590"/>
            <wp:effectExtent l="0" t="0" r="0" b="0"/>
            <wp:docPr id="3" name="Obrázok 3" descr="troj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oj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402590"/>
                    </a:xfrm>
                    <a:prstGeom prst="rect">
                      <a:avLst/>
                    </a:prstGeom>
                    <a:noFill/>
                    <a:ln>
                      <a:noFill/>
                    </a:ln>
                  </pic:spPr>
                </pic:pic>
              </a:graphicData>
            </a:graphic>
          </wp:inline>
        </w:drawing>
      </w:r>
    </w:p>
    <w:p w14:paraId="6D09F242" w14:textId="77777777" w:rsidR="00EE5328" w:rsidRPr="00231D9B" w:rsidRDefault="00EE5328" w:rsidP="00EE5328">
      <w:pPr>
        <w:tabs>
          <w:tab w:val="left" w:pos="2268"/>
        </w:tabs>
        <w:spacing w:before="120" w:after="120"/>
        <w:ind w:left="2268" w:hanging="2268"/>
        <w:rPr>
          <w:rFonts w:asciiTheme="minorHAnsi" w:hAnsiTheme="minorHAnsi" w:cs="Martel Sans"/>
        </w:rPr>
      </w:pPr>
    </w:p>
    <w:p w14:paraId="6D09F243" w14:textId="77777777" w:rsidR="00EE5328" w:rsidRPr="00231D9B" w:rsidRDefault="00EE5328" w:rsidP="00EE5328">
      <w:pPr>
        <w:spacing w:before="120" w:after="120"/>
        <w:rPr>
          <w:rFonts w:asciiTheme="minorHAnsi" w:hAnsiTheme="minorHAnsi" w:cs="Martel Sans"/>
          <w:bCs/>
        </w:rPr>
      </w:pPr>
      <w:r w:rsidRPr="00231D9B">
        <w:rPr>
          <w:rFonts w:asciiTheme="minorHAnsi" w:hAnsiTheme="minorHAnsi" w:cs="Martel Sans"/>
          <w:bCs/>
        </w:rPr>
        <w:br w:type="page"/>
      </w:r>
    </w:p>
    <w:sdt>
      <w:sdtPr>
        <w:id w:val="-105040486"/>
        <w:docPartObj>
          <w:docPartGallery w:val="Table of Contents"/>
          <w:docPartUnique/>
        </w:docPartObj>
      </w:sdtPr>
      <w:sdtEndPr>
        <w:rPr>
          <w:b/>
          <w:bCs/>
        </w:rPr>
      </w:sdtEndPr>
      <w:sdtContent>
        <w:p w14:paraId="6D09F244" w14:textId="77777777" w:rsidR="00EE5328" w:rsidRDefault="00EE5328" w:rsidP="00EE5328">
          <w:pPr>
            <w:spacing w:after="120" w:line="240" w:lineRule="auto"/>
            <w:contextualSpacing/>
            <w:rPr>
              <w:b/>
              <w:color w:val="000000" w:themeColor="text1"/>
              <w:sz w:val="24"/>
            </w:rPr>
          </w:pPr>
          <w:r w:rsidRPr="00EA32DD">
            <w:rPr>
              <w:b/>
              <w:color w:val="000000" w:themeColor="text1"/>
              <w:sz w:val="24"/>
            </w:rPr>
            <w:t>Obsah</w:t>
          </w:r>
        </w:p>
        <w:p w14:paraId="6D09F245" w14:textId="77777777" w:rsidR="00474A46" w:rsidRDefault="00EE5328" w:rsidP="00474A46">
          <w:pPr>
            <w:pStyle w:val="Obsah1"/>
            <w:rPr>
              <w:rFonts w:asciiTheme="minorHAnsi" w:eastAsiaTheme="minorEastAsia" w:hAnsiTheme="minorHAnsi" w:cstheme="minorBidi"/>
              <w:noProof/>
              <w:lang w:eastAsia="sk-SK"/>
            </w:rPr>
          </w:pPr>
          <w:r>
            <w:fldChar w:fldCharType="begin"/>
          </w:r>
          <w:r>
            <w:instrText xml:space="preserve"> TOC \o "1-3" \h \z \u </w:instrText>
          </w:r>
          <w:r>
            <w:fldChar w:fldCharType="separate"/>
          </w:r>
          <w:hyperlink w:anchor="_Toc484702497" w:history="1">
            <w:r w:rsidR="00474A46" w:rsidRPr="00B60ECC">
              <w:rPr>
                <w:rStyle w:val="Hypertextovprepojenie"/>
                <w:noProof/>
              </w:rPr>
              <w:t>1.</w:t>
            </w:r>
            <w:r w:rsidR="00474A46">
              <w:rPr>
                <w:rFonts w:asciiTheme="minorHAnsi" w:eastAsiaTheme="minorEastAsia" w:hAnsiTheme="minorHAnsi" w:cstheme="minorBidi"/>
                <w:noProof/>
                <w:lang w:eastAsia="sk-SK"/>
              </w:rPr>
              <w:tab/>
            </w:r>
            <w:r w:rsidR="00474A46" w:rsidRPr="00B60ECC">
              <w:rPr>
                <w:rStyle w:val="Hypertextovprepojenie"/>
                <w:noProof/>
              </w:rPr>
              <w:t>Teoretické východiská a ciele</w:t>
            </w:r>
            <w:r w:rsidR="00474A46">
              <w:rPr>
                <w:noProof/>
                <w:webHidden/>
              </w:rPr>
              <w:tab/>
            </w:r>
            <w:r w:rsidR="00474A46">
              <w:rPr>
                <w:noProof/>
                <w:webHidden/>
              </w:rPr>
              <w:fldChar w:fldCharType="begin"/>
            </w:r>
            <w:r w:rsidR="00474A46">
              <w:rPr>
                <w:noProof/>
                <w:webHidden/>
              </w:rPr>
              <w:instrText xml:space="preserve"> PAGEREF _Toc484702497 \h </w:instrText>
            </w:r>
            <w:r w:rsidR="00474A46">
              <w:rPr>
                <w:noProof/>
                <w:webHidden/>
              </w:rPr>
            </w:r>
            <w:r w:rsidR="00474A46">
              <w:rPr>
                <w:noProof/>
                <w:webHidden/>
              </w:rPr>
              <w:fldChar w:fldCharType="separate"/>
            </w:r>
            <w:r w:rsidR="00474A46">
              <w:rPr>
                <w:noProof/>
                <w:webHidden/>
              </w:rPr>
              <w:t>3</w:t>
            </w:r>
            <w:r w:rsidR="00474A46">
              <w:rPr>
                <w:noProof/>
                <w:webHidden/>
              </w:rPr>
              <w:fldChar w:fldCharType="end"/>
            </w:r>
          </w:hyperlink>
        </w:p>
        <w:p w14:paraId="6D09F246" w14:textId="77777777" w:rsidR="00474A46" w:rsidRDefault="001638BE" w:rsidP="00474A46">
          <w:pPr>
            <w:pStyle w:val="Obsah1"/>
            <w:rPr>
              <w:rFonts w:asciiTheme="minorHAnsi" w:eastAsiaTheme="minorEastAsia" w:hAnsiTheme="minorHAnsi" w:cstheme="minorBidi"/>
              <w:noProof/>
              <w:lang w:eastAsia="sk-SK"/>
            </w:rPr>
          </w:pPr>
          <w:hyperlink w:anchor="_Toc484702498" w:history="1">
            <w:r w:rsidR="00474A46" w:rsidRPr="00B60ECC">
              <w:rPr>
                <w:rStyle w:val="Hypertextovprepojenie"/>
                <w:noProof/>
              </w:rPr>
              <w:t>2.</w:t>
            </w:r>
            <w:r w:rsidR="00474A46">
              <w:rPr>
                <w:rFonts w:asciiTheme="minorHAnsi" w:eastAsiaTheme="minorEastAsia" w:hAnsiTheme="minorHAnsi" w:cstheme="minorBidi"/>
                <w:noProof/>
                <w:lang w:eastAsia="sk-SK"/>
              </w:rPr>
              <w:tab/>
            </w:r>
            <w:r w:rsidR="00474A46" w:rsidRPr="00B60ECC">
              <w:rPr>
                <w:rStyle w:val="Hypertextovprepojenie"/>
                <w:noProof/>
              </w:rPr>
              <w:t>Metodika ustanovenia výšky oprávnených výdavkov</w:t>
            </w:r>
            <w:r w:rsidR="00474A46">
              <w:rPr>
                <w:noProof/>
                <w:webHidden/>
              </w:rPr>
              <w:tab/>
            </w:r>
            <w:r w:rsidR="00474A46">
              <w:rPr>
                <w:noProof/>
                <w:webHidden/>
              </w:rPr>
              <w:fldChar w:fldCharType="begin"/>
            </w:r>
            <w:r w:rsidR="00474A46">
              <w:rPr>
                <w:noProof/>
                <w:webHidden/>
              </w:rPr>
              <w:instrText xml:space="preserve"> PAGEREF _Toc484702498 \h </w:instrText>
            </w:r>
            <w:r w:rsidR="00474A46">
              <w:rPr>
                <w:noProof/>
                <w:webHidden/>
              </w:rPr>
            </w:r>
            <w:r w:rsidR="00474A46">
              <w:rPr>
                <w:noProof/>
                <w:webHidden/>
              </w:rPr>
              <w:fldChar w:fldCharType="separate"/>
            </w:r>
            <w:r w:rsidR="00474A46">
              <w:rPr>
                <w:noProof/>
                <w:webHidden/>
              </w:rPr>
              <w:t>3</w:t>
            </w:r>
            <w:r w:rsidR="00474A46">
              <w:rPr>
                <w:noProof/>
                <w:webHidden/>
              </w:rPr>
              <w:fldChar w:fldCharType="end"/>
            </w:r>
          </w:hyperlink>
        </w:p>
        <w:p w14:paraId="6D09F247" w14:textId="77777777" w:rsidR="00474A46" w:rsidRDefault="001638BE" w:rsidP="00474A46">
          <w:pPr>
            <w:pStyle w:val="Obsah2"/>
            <w:rPr>
              <w:rFonts w:asciiTheme="minorHAnsi" w:eastAsiaTheme="minorEastAsia" w:hAnsiTheme="minorHAnsi" w:cstheme="minorBidi"/>
              <w:noProof/>
              <w:lang w:eastAsia="sk-SK"/>
            </w:rPr>
          </w:pPr>
          <w:hyperlink w:anchor="_Toc484702499" w:history="1">
            <w:r w:rsidR="00474A46" w:rsidRPr="00B60ECC">
              <w:rPr>
                <w:rStyle w:val="Hypertextovprepojenie"/>
                <w:noProof/>
              </w:rPr>
              <w:t>2.1.</w:t>
            </w:r>
            <w:r w:rsidR="00474A46">
              <w:rPr>
                <w:rFonts w:asciiTheme="minorHAnsi" w:eastAsiaTheme="minorEastAsia" w:hAnsiTheme="minorHAnsi" w:cstheme="minorBidi"/>
                <w:noProof/>
                <w:lang w:eastAsia="sk-SK"/>
              </w:rPr>
              <w:tab/>
            </w:r>
            <w:r w:rsidR="00474A46" w:rsidRPr="00B60ECC">
              <w:rPr>
                <w:rStyle w:val="Hypertextovprepojenie"/>
                <w:noProof/>
              </w:rPr>
              <w:t>Základné východiská</w:t>
            </w:r>
            <w:r w:rsidR="00474A46">
              <w:rPr>
                <w:noProof/>
                <w:webHidden/>
              </w:rPr>
              <w:tab/>
            </w:r>
            <w:r w:rsidR="00474A46">
              <w:rPr>
                <w:noProof/>
                <w:webHidden/>
              </w:rPr>
              <w:fldChar w:fldCharType="begin"/>
            </w:r>
            <w:r w:rsidR="00474A46">
              <w:rPr>
                <w:noProof/>
                <w:webHidden/>
              </w:rPr>
              <w:instrText xml:space="preserve"> PAGEREF _Toc484702499 \h </w:instrText>
            </w:r>
            <w:r w:rsidR="00474A46">
              <w:rPr>
                <w:noProof/>
                <w:webHidden/>
              </w:rPr>
            </w:r>
            <w:r w:rsidR="00474A46">
              <w:rPr>
                <w:noProof/>
                <w:webHidden/>
              </w:rPr>
              <w:fldChar w:fldCharType="separate"/>
            </w:r>
            <w:r w:rsidR="00474A46">
              <w:rPr>
                <w:noProof/>
                <w:webHidden/>
              </w:rPr>
              <w:t>3</w:t>
            </w:r>
            <w:r w:rsidR="00474A46">
              <w:rPr>
                <w:noProof/>
                <w:webHidden/>
              </w:rPr>
              <w:fldChar w:fldCharType="end"/>
            </w:r>
          </w:hyperlink>
        </w:p>
        <w:p w14:paraId="6D09F248" w14:textId="77777777" w:rsidR="00474A46" w:rsidRDefault="001638BE" w:rsidP="00474A46">
          <w:pPr>
            <w:pStyle w:val="Obsah2"/>
            <w:rPr>
              <w:rFonts w:asciiTheme="minorHAnsi" w:eastAsiaTheme="minorEastAsia" w:hAnsiTheme="minorHAnsi" w:cstheme="minorBidi"/>
              <w:noProof/>
              <w:lang w:eastAsia="sk-SK"/>
            </w:rPr>
          </w:pPr>
          <w:hyperlink w:anchor="_Toc484702500" w:history="1">
            <w:r w:rsidR="00474A46" w:rsidRPr="00B60ECC">
              <w:rPr>
                <w:rStyle w:val="Hypertextovprepojenie"/>
                <w:noProof/>
              </w:rPr>
              <w:t>2.2.</w:t>
            </w:r>
            <w:r w:rsidR="00474A46">
              <w:rPr>
                <w:rFonts w:asciiTheme="minorHAnsi" w:eastAsiaTheme="minorEastAsia" w:hAnsiTheme="minorHAnsi" w:cstheme="minorBidi"/>
                <w:noProof/>
                <w:lang w:eastAsia="sk-SK"/>
              </w:rPr>
              <w:tab/>
            </w:r>
            <w:r w:rsidR="00474A46" w:rsidRPr="00B60ECC">
              <w:rPr>
                <w:rStyle w:val="Hypertextovprepojenie"/>
                <w:noProof/>
              </w:rPr>
              <w:t>Postup pri stanovení jednotkovej ceny</w:t>
            </w:r>
            <w:r w:rsidR="00474A46">
              <w:rPr>
                <w:noProof/>
                <w:webHidden/>
              </w:rPr>
              <w:tab/>
            </w:r>
            <w:r w:rsidR="00474A46">
              <w:rPr>
                <w:noProof/>
                <w:webHidden/>
              </w:rPr>
              <w:fldChar w:fldCharType="begin"/>
            </w:r>
            <w:r w:rsidR="00474A46">
              <w:rPr>
                <w:noProof/>
                <w:webHidden/>
              </w:rPr>
              <w:instrText xml:space="preserve"> PAGEREF _Toc484702500 \h </w:instrText>
            </w:r>
            <w:r w:rsidR="00474A46">
              <w:rPr>
                <w:noProof/>
                <w:webHidden/>
              </w:rPr>
            </w:r>
            <w:r w:rsidR="00474A46">
              <w:rPr>
                <w:noProof/>
                <w:webHidden/>
              </w:rPr>
              <w:fldChar w:fldCharType="separate"/>
            </w:r>
            <w:r w:rsidR="00474A46">
              <w:rPr>
                <w:noProof/>
                <w:webHidden/>
              </w:rPr>
              <w:t>4</w:t>
            </w:r>
            <w:r w:rsidR="00474A46">
              <w:rPr>
                <w:noProof/>
                <w:webHidden/>
              </w:rPr>
              <w:fldChar w:fldCharType="end"/>
            </w:r>
          </w:hyperlink>
        </w:p>
        <w:p w14:paraId="6D09F249" w14:textId="77777777" w:rsidR="00474A46" w:rsidRDefault="001638BE" w:rsidP="00474A46">
          <w:pPr>
            <w:pStyle w:val="Obsah1"/>
            <w:rPr>
              <w:rFonts w:asciiTheme="minorHAnsi" w:eastAsiaTheme="minorEastAsia" w:hAnsiTheme="minorHAnsi" w:cstheme="minorBidi"/>
              <w:noProof/>
              <w:lang w:eastAsia="sk-SK"/>
            </w:rPr>
          </w:pPr>
          <w:hyperlink w:anchor="_Toc484702501" w:history="1">
            <w:r w:rsidR="00474A46" w:rsidRPr="00B60ECC">
              <w:rPr>
                <w:rStyle w:val="Hypertextovprepojenie"/>
                <w:noProof/>
              </w:rPr>
              <w:t>3.</w:t>
            </w:r>
            <w:r w:rsidR="00474A46">
              <w:rPr>
                <w:rFonts w:asciiTheme="minorHAnsi" w:eastAsiaTheme="minorEastAsia" w:hAnsiTheme="minorHAnsi" w:cstheme="minorBidi"/>
                <w:noProof/>
                <w:lang w:eastAsia="sk-SK"/>
              </w:rPr>
              <w:tab/>
            </w:r>
            <w:r w:rsidR="00474A46" w:rsidRPr="00B60ECC">
              <w:rPr>
                <w:rStyle w:val="Hypertextovprepojenie"/>
                <w:noProof/>
              </w:rPr>
              <w:t>Podmienky oprávnenosti a uplatnenia zjednodušeného vykazovania výdavkov</w:t>
            </w:r>
            <w:r w:rsidR="00474A46">
              <w:rPr>
                <w:noProof/>
                <w:webHidden/>
              </w:rPr>
              <w:tab/>
            </w:r>
            <w:r w:rsidR="00474A46">
              <w:rPr>
                <w:noProof/>
                <w:webHidden/>
              </w:rPr>
              <w:fldChar w:fldCharType="begin"/>
            </w:r>
            <w:r w:rsidR="00474A46">
              <w:rPr>
                <w:noProof/>
                <w:webHidden/>
              </w:rPr>
              <w:instrText xml:space="preserve"> PAGEREF _Toc484702501 \h </w:instrText>
            </w:r>
            <w:r w:rsidR="00474A46">
              <w:rPr>
                <w:noProof/>
                <w:webHidden/>
              </w:rPr>
            </w:r>
            <w:r w:rsidR="00474A46">
              <w:rPr>
                <w:noProof/>
                <w:webHidden/>
              </w:rPr>
              <w:fldChar w:fldCharType="separate"/>
            </w:r>
            <w:r w:rsidR="00474A46">
              <w:rPr>
                <w:noProof/>
                <w:webHidden/>
              </w:rPr>
              <w:t>5</w:t>
            </w:r>
            <w:r w:rsidR="00474A46">
              <w:rPr>
                <w:noProof/>
                <w:webHidden/>
              </w:rPr>
              <w:fldChar w:fldCharType="end"/>
            </w:r>
          </w:hyperlink>
        </w:p>
        <w:p w14:paraId="6D09F24A" w14:textId="77777777" w:rsidR="00474A46" w:rsidRDefault="001638BE" w:rsidP="00474A46">
          <w:pPr>
            <w:pStyle w:val="Obsah1"/>
            <w:rPr>
              <w:rFonts w:asciiTheme="minorHAnsi" w:eastAsiaTheme="minorEastAsia" w:hAnsiTheme="minorHAnsi" w:cstheme="minorBidi"/>
              <w:noProof/>
              <w:lang w:eastAsia="sk-SK"/>
            </w:rPr>
          </w:pPr>
          <w:hyperlink w:anchor="_Toc484702502" w:history="1">
            <w:r w:rsidR="00474A46" w:rsidRPr="00B60ECC">
              <w:rPr>
                <w:rStyle w:val="Hypertextovprepojenie"/>
                <w:noProof/>
              </w:rPr>
              <w:t>4.</w:t>
            </w:r>
            <w:r w:rsidR="00474A46">
              <w:rPr>
                <w:rFonts w:asciiTheme="minorHAnsi" w:eastAsiaTheme="minorEastAsia" w:hAnsiTheme="minorHAnsi" w:cstheme="minorBidi"/>
                <w:noProof/>
                <w:lang w:eastAsia="sk-SK"/>
              </w:rPr>
              <w:tab/>
            </w:r>
            <w:r w:rsidR="00474A46" w:rsidRPr="00B60ECC">
              <w:rPr>
                <w:rStyle w:val="Hypertextovprepojenie"/>
                <w:noProof/>
              </w:rPr>
              <w:t>Spôsob výkonu kontroly</w:t>
            </w:r>
            <w:r w:rsidR="00474A46">
              <w:rPr>
                <w:noProof/>
                <w:webHidden/>
              </w:rPr>
              <w:tab/>
            </w:r>
            <w:r w:rsidR="00474A46">
              <w:rPr>
                <w:noProof/>
                <w:webHidden/>
              </w:rPr>
              <w:fldChar w:fldCharType="begin"/>
            </w:r>
            <w:r w:rsidR="00474A46">
              <w:rPr>
                <w:noProof/>
                <w:webHidden/>
              </w:rPr>
              <w:instrText xml:space="preserve"> PAGEREF _Toc484702502 \h </w:instrText>
            </w:r>
            <w:r w:rsidR="00474A46">
              <w:rPr>
                <w:noProof/>
                <w:webHidden/>
              </w:rPr>
            </w:r>
            <w:r w:rsidR="00474A46">
              <w:rPr>
                <w:noProof/>
                <w:webHidden/>
              </w:rPr>
              <w:fldChar w:fldCharType="separate"/>
            </w:r>
            <w:r w:rsidR="00474A46">
              <w:rPr>
                <w:noProof/>
                <w:webHidden/>
              </w:rPr>
              <w:t>7</w:t>
            </w:r>
            <w:r w:rsidR="00474A46">
              <w:rPr>
                <w:noProof/>
                <w:webHidden/>
              </w:rPr>
              <w:fldChar w:fldCharType="end"/>
            </w:r>
          </w:hyperlink>
        </w:p>
        <w:p w14:paraId="6D09F24B" w14:textId="77777777" w:rsidR="00474A46" w:rsidRDefault="001638BE" w:rsidP="00474A46">
          <w:pPr>
            <w:pStyle w:val="Obsah1"/>
            <w:rPr>
              <w:rFonts w:asciiTheme="minorHAnsi" w:eastAsiaTheme="minorEastAsia" w:hAnsiTheme="minorHAnsi" w:cstheme="minorBidi"/>
              <w:noProof/>
              <w:lang w:eastAsia="sk-SK"/>
            </w:rPr>
          </w:pPr>
          <w:hyperlink w:anchor="_Toc484702503" w:history="1">
            <w:r w:rsidR="00474A46" w:rsidRPr="00B60ECC">
              <w:rPr>
                <w:rStyle w:val="Hypertextovprepojenie"/>
                <w:noProof/>
              </w:rPr>
              <w:t>5.</w:t>
            </w:r>
            <w:r w:rsidR="00474A46">
              <w:rPr>
                <w:rFonts w:asciiTheme="minorHAnsi" w:eastAsiaTheme="minorEastAsia" w:hAnsiTheme="minorHAnsi" w:cstheme="minorBidi"/>
                <w:noProof/>
                <w:lang w:eastAsia="sk-SK"/>
              </w:rPr>
              <w:tab/>
            </w:r>
            <w:r w:rsidR="00474A46" w:rsidRPr="00B60ECC">
              <w:rPr>
                <w:rStyle w:val="Hypertextovprepojenie"/>
                <w:noProof/>
              </w:rPr>
              <w:t>Prílohy ŠSJN</w:t>
            </w:r>
            <w:r w:rsidR="00474A46">
              <w:rPr>
                <w:noProof/>
                <w:webHidden/>
              </w:rPr>
              <w:tab/>
            </w:r>
            <w:r w:rsidR="00474A46">
              <w:rPr>
                <w:noProof/>
                <w:webHidden/>
              </w:rPr>
              <w:fldChar w:fldCharType="begin"/>
            </w:r>
            <w:r w:rsidR="00474A46">
              <w:rPr>
                <w:noProof/>
                <w:webHidden/>
              </w:rPr>
              <w:instrText xml:space="preserve"> PAGEREF _Toc484702503 \h </w:instrText>
            </w:r>
            <w:r w:rsidR="00474A46">
              <w:rPr>
                <w:noProof/>
                <w:webHidden/>
              </w:rPr>
            </w:r>
            <w:r w:rsidR="00474A46">
              <w:rPr>
                <w:noProof/>
                <w:webHidden/>
              </w:rPr>
              <w:fldChar w:fldCharType="separate"/>
            </w:r>
            <w:r w:rsidR="00474A46">
              <w:rPr>
                <w:noProof/>
                <w:webHidden/>
              </w:rPr>
              <w:t>7</w:t>
            </w:r>
            <w:r w:rsidR="00474A46">
              <w:rPr>
                <w:noProof/>
                <w:webHidden/>
              </w:rPr>
              <w:fldChar w:fldCharType="end"/>
            </w:r>
          </w:hyperlink>
        </w:p>
        <w:p w14:paraId="6D09F24C" w14:textId="77777777" w:rsidR="00EE5328" w:rsidRDefault="00EE5328" w:rsidP="00EE5328">
          <w:r>
            <w:rPr>
              <w:b/>
              <w:bCs/>
            </w:rPr>
            <w:fldChar w:fldCharType="end"/>
          </w:r>
        </w:p>
      </w:sdtContent>
    </w:sdt>
    <w:p w14:paraId="6D09F24D" w14:textId="77777777" w:rsidR="00EE5328" w:rsidRPr="007C1738" w:rsidRDefault="00EE5328" w:rsidP="00EE5328">
      <w:pPr>
        <w:spacing w:after="0" w:line="240" w:lineRule="auto"/>
        <w:contextualSpacing/>
        <w:rPr>
          <w:rFonts w:asciiTheme="minorHAnsi" w:hAnsiTheme="minorHAnsi"/>
        </w:rPr>
      </w:pPr>
    </w:p>
    <w:p w14:paraId="6D09F24E" w14:textId="77777777" w:rsidR="00EE5328" w:rsidRDefault="00EE5328" w:rsidP="00EE5328">
      <w:pPr>
        <w:spacing w:after="0" w:line="240" w:lineRule="auto"/>
        <w:contextualSpacing/>
        <w:rPr>
          <w:rFonts w:asciiTheme="minorHAnsi" w:hAnsiTheme="minorHAnsi" w:cstheme="minorHAnsi"/>
          <w:b/>
          <w:sz w:val="24"/>
          <w:szCs w:val="24"/>
        </w:rPr>
      </w:pPr>
      <w:r>
        <w:rPr>
          <w:rFonts w:asciiTheme="minorHAnsi" w:hAnsiTheme="minorHAnsi" w:cstheme="minorHAnsi"/>
          <w:b/>
          <w:sz w:val="24"/>
          <w:szCs w:val="24"/>
        </w:rPr>
        <w:t>Zoznam použitých skratiek</w:t>
      </w:r>
    </w:p>
    <w:p w14:paraId="6D09F24F" w14:textId="77777777" w:rsidR="00EE5328" w:rsidRPr="007C1738" w:rsidRDefault="00EE5328" w:rsidP="00EE5328">
      <w:pPr>
        <w:spacing w:after="0" w:line="240" w:lineRule="auto"/>
        <w:contextualSpacing/>
        <w:rPr>
          <w:rFonts w:asciiTheme="minorHAnsi" w:hAnsiTheme="minorHAnsi" w:cstheme="minorHAnsi"/>
          <w:b/>
          <w:sz w:val="24"/>
          <w:szCs w:val="24"/>
        </w:rPr>
      </w:pPr>
    </w:p>
    <w:p w14:paraId="6D09F250" w14:textId="77777777" w:rsidR="00EE5328" w:rsidRPr="00D33265" w:rsidRDefault="00EE5328" w:rsidP="00EE5328">
      <w:pPr>
        <w:spacing w:after="0" w:line="240" w:lineRule="auto"/>
        <w:contextualSpacing/>
        <w:jc w:val="both"/>
        <w:rPr>
          <w:rFonts w:asciiTheme="minorHAnsi" w:hAnsiTheme="minorHAnsi" w:cstheme="minorHAnsi"/>
          <w:sz w:val="20"/>
          <w:szCs w:val="24"/>
        </w:rPr>
      </w:pPr>
      <w:r w:rsidRPr="00D33265">
        <w:rPr>
          <w:rFonts w:asciiTheme="minorHAnsi" w:hAnsiTheme="minorHAnsi" w:cstheme="minorHAnsi"/>
          <w:sz w:val="20"/>
          <w:szCs w:val="24"/>
        </w:rPr>
        <w:t>AOZ</w:t>
      </w:r>
      <w:r w:rsidRPr="00D33265">
        <w:rPr>
          <w:rFonts w:asciiTheme="minorHAnsi" w:hAnsiTheme="minorHAnsi" w:cstheme="minorHAnsi"/>
          <w:sz w:val="20"/>
          <w:szCs w:val="24"/>
        </w:rPr>
        <w:tab/>
      </w:r>
      <w:r w:rsidRPr="00D33265">
        <w:rPr>
          <w:rFonts w:asciiTheme="minorHAnsi" w:hAnsiTheme="minorHAnsi" w:cstheme="minorHAnsi"/>
          <w:sz w:val="20"/>
          <w:szCs w:val="24"/>
        </w:rPr>
        <w:tab/>
      </w:r>
      <w:r w:rsidRPr="00D33265">
        <w:rPr>
          <w:rFonts w:asciiTheme="minorHAnsi" w:hAnsiTheme="minorHAnsi" w:cstheme="minorHAnsi"/>
          <w:sz w:val="20"/>
          <w:szCs w:val="24"/>
        </w:rPr>
        <w:tab/>
        <w:t>asistent osvety zdravia</w:t>
      </w:r>
    </w:p>
    <w:p w14:paraId="6D09F251" w14:textId="77777777" w:rsidR="00EE5328" w:rsidRPr="008B3008" w:rsidRDefault="00EE5328" w:rsidP="00EE5328">
      <w:pPr>
        <w:spacing w:after="0" w:line="240" w:lineRule="auto"/>
        <w:contextualSpacing/>
        <w:jc w:val="both"/>
        <w:rPr>
          <w:rFonts w:asciiTheme="minorHAnsi" w:hAnsiTheme="minorHAnsi" w:cstheme="minorHAnsi"/>
          <w:sz w:val="20"/>
          <w:szCs w:val="24"/>
          <w:highlight w:val="yellow"/>
        </w:rPr>
      </w:pPr>
      <w:r w:rsidRPr="00D33265">
        <w:rPr>
          <w:rFonts w:asciiTheme="minorHAnsi" w:hAnsiTheme="minorHAnsi" w:cstheme="minorHAnsi"/>
          <w:sz w:val="20"/>
          <w:szCs w:val="24"/>
        </w:rPr>
        <w:t>CCP</w:t>
      </w:r>
      <w:r w:rsidRPr="00D33265">
        <w:rPr>
          <w:rFonts w:asciiTheme="minorHAnsi" w:hAnsiTheme="minorHAnsi" w:cstheme="minorHAnsi"/>
          <w:sz w:val="20"/>
          <w:szCs w:val="24"/>
        </w:rPr>
        <w:tab/>
      </w:r>
      <w:r w:rsidRPr="00D33265">
        <w:rPr>
          <w:rFonts w:asciiTheme="minorHAnsi" w:hAnsiTheme="minorHAnsi" w:cstheme="minorHAnsi"/>
          <w:sz w:val="20"/>
          <w:szCs w:val="24"/>
        </w:rPr>
        <w:tab/>
      </w:r>
      <w:r w:rsidRPr="00D33265">
        <w:rPr>
          <w:rFonts w:asciiTheme="minorHAnsi" w:hAnsiTheme="minorHAnsi" w:cstheme="minorHAnsi"/>
          <w:sz w:val="20"/>
          <w:szCs w:val="24"/>
        </w:rPr>
        <w:tab/>
        <w:t>celková cena práce</w:t>
      </w:r>
    </w:p>
    <w:p w14:paraId="6D09F252" w14:textId="77777777" w:rsidR="00EE5328" w:rsidRPr="00E7697D" w:rsidRDefault="00EE5328" w:rsidP="00EE5328">
      <w:pPr>
        <w:spacing w:after="0" w:line="240" w:lineRule="auto"/>
        <w:contextualSpacing/>
        <w:jc w:val="both"/>
        <w:rPr>
          <w:rFonts w:asciiTheme="minorHAnsi" w:hAnsiTheme="minorHAnsi" w:cstheme="minorHAnsi"/>
          <w:sz w:val="20"/>
          <w:szCs w:val="24"/>
        </w:rPr>
      </w:pPr>
      <w:r w:rsidRPr="00E7697D">
        <w:rPr>
          <w:rFonts w:asciiTheme="minorHAnsi" w:hAnsiTheme="minorHAnsi" w:cstheme="minorHAnsi"/>
          <w:sz w:val="20"/>
          <w:szCs w:val="24"/>
        </w:rPr>
        <w:t>EÚ</w:t>
      </w:r>
      <w:r w:rsidRPr="00E7697D">
        <w:rPr>
          <w:rFonts w:asciiTheme="minorHAnsi" w:hAnsiTheme="minorHAnsi" w:cstheme="minorHAnsi"/>
          <w:sz w:val="20"/>
          <w:szCs w:val="24"/>
        </w:rPr>
        <w:tab/>
      </w:r>
      <w:r>
        <w:rPr>
          <w:rFonts w:asciiTheme="minorHAnsi" w:hAnsiTheme="minorHAnsi" w:cstheme="minorHAnsi"/>
          <w:sz w:val="20"/>
          <w:szCs w:val="24"/>
        </w:rPr>
        <w:tab/>
      </w:r>
      <w:r>
        <w:rPr>
          <w:rFonts w:asciiTheme="minorHAnsi" w:hAnsiTheme="minorHAnsi" w:cstheme="minorHAnsi"/>
          <w:sz w:val="20"/>
          <w:szCs w:val="24"/>
        </w:rPr>
        <w:tab/>
      </w:r>
      <w:r w:rsidRPr="00E7697D">
        <w:rPr>
          <w:rFonts w:asciiTheme="minorHAnsi" w:hAnsiTheme="minorHAnsi" w:cstheme="minorHAnsi"/>
          <w:sz w:val="20"/>
          <w:szCs w:val="24"/>
        </w:rPr>
        <w:t>Európska únia</w:t>
      </w:r>
    </w:p>
    <w:p w14:paraId="6D09F253" w14:textId="77777777" w:rsidR="00EE5328" w:rsidRPr="008F035C" w:rsidRDefault="00EE5328" w:rsidP="00EE5328">
      <w:pPr>
        <w:spacing w:after="0" w:line="240" w:lineRule="auto"/>
        <w:contextualSpacing/>
        <w:jc w:val="both"/>
        <w:rPr>
          <w:rFonts w:asciiTheme="minorHAnsi" w:hAnsiTheme="minorHAnsi" w:cstheme="minorHAnsi"/>
          <w:sz w:val="20"/>
          <w:szCs w:val="24"/>
        </w:rPr>
      </w:pPr>
      <w:r w:rsidRPr="008F035C">
        <w:rPr>
          <w:rFonts w:asciiTheme="minorHAnsi" w:hAnsiTheme="minorHAnsi" w:cstheme="minorHAnsi"/>
          <w:sz w:val="20"/>
          <w:szCs w:val="24"/>
        </w:rPr>
        <w:t>ESF</w:t>
      </w:r>
      <w:r w:rsidRPr="008F035C">
        <w:rPr>
          <w:rFonts w:asciiTheme="minorHAnsi" w:hAnsiTheme="minorHAnsi" w:cstheme="minorHAnsi"/>
          <w:sz w:val="20"/>
          <w:szCs w:val="24"/>
        </w:rPr>
        <w:tab/>
      </w:r>
      <w:r w:rsidRPr="008F035C">
        <w:rPr>
          <w:rFonts w:asciiTheme="minorHAnsi" w:hAnsiTheme="minorHAnsi" w:cstheme="minorHAnsi"/>
          <w:sz w:val="20"/>
          <w:szCs w:val="24"/>
        </w:rPr>
        <w:tab/>
      </w:r>
      <w:r w:rsidRPr="008F035C">
        <w:rPr>
          <w:rFonts w:asciiTheme="minorHAnsi" w:hAnsiTheme="minorHAnsi" w:cstheme="minorHAnsi"/>
          <w:sz w:val="20"/>
          <w:szCs w:val="24"/>
        </w:rPr>
        <w:tab/>
        <w:t>Európsky sociálny fond</w:t>
      </w:r>
    </w:p>
    <w:p w14:paraId="6D09F254" w14:textId="77777777" w:rsidR="00EE5328" w:rsidRPr="00B31244" w:rsidRDefault="00EE5328" w:rsidP="00EE5328">
      <w:pPr>
        <w:spacing w:after="0" w:line="240" w:lineRule="auto"/>
        <w:contextualSpacing/>
        <w:jc w:val="both"/>
        <w:rPr>
          <w:rFonts w:asciiTheme="minorHAnsi" w:hAnsiTheme="minorHAnsi" w:cstheme="minorHAnsi"/>
          <w:sz w:val="20"/>
          <w:szCs w:val="24"/>
        </w:rPr>
      </w:pPr>
      <w:r w:rsidRPr="00B31244">
        <w:rPr>
          <w:rFonts w:asciiTheme="minorHAnsi" w:hAnsiTheme="minorHAnsi" w:cstheme="minorHAnsi"/>
          <w:sz w:val="20"/>
          <w:szCs w:val="24"/>
        </w:rPr>
        <w:t>KAOZ</w:t>
      </w:r>
      <w:r w:rsidRPr="00B31244">
        <w:rPr>
          <w:rFonts w:asciiTheme="minorHAnsi" w:hAnsiTheme="minorHAnsi" w:cstheme="minorHAnsi"/>
          <w:sz w:val="20"/>
          <w:szCs w:val="24"/>
        </w:rPr>
        <w:tab/>
      </w:r>
      <w:r>
        <w:rPr>
          <w:rFonts w:asciiTheme="minorHAnsi" w:hAnsiTheme="minorHAnsi" w:cstheme="minorHAnsi"/>
          <w:sz w:val="20"/>
          <w:szCs w:val="24"/>
        </w:rPr>
        <w:tab/>
      </w:r>
      <w:r>
        <w:rPr>
          <w:rFonts w:asciiTheme="minorHAnsi" w:hAnsiTheme="minorHAnsi" w:cstheme="minorHAnsi"/>
          <w:sz w:val="20"/>
          <w:szCs w:val="24"/>
        </w:rPr>
        <w:tab/>
      </w:r>
      <w:r w:rsidRPr="00B31244">
        <w:rPr>
          <w:rFonts w:asciiTheme="minorHAnsi" w:hAnsiTheme="minorHAnsi" w:cstheme="minorHAnsi"/>
          <w:sz w:val="20"/>
          <w:szCs w:val="24"/>
        </w:rPr>
        <w:t>koordinátor asistenta osvety zdravia</w:t>
      </w:r>
    </w:p>
    <w:p w14:paraId="6D09F255" w14:textId="77777777" w:rsidR="00EE5328" w:rsidRPr="00C85B70" w:rsidRDefault="00EE5328" w:rsidP="00EE5328">
      <w:pPr>
        <w:spacing w:after="0" w:line="240" w:lineRule="auto"/>
        <w:contextualSpacing/>
        <w:jc w:val="both"/>
        <w:rPr>
          <w:rFonts w:asciiTheme="minorHAnsi" w:hAnsiTheme="minorHAnsi" w:cstheme="minorHAnsi"/>
          <w:sz w:val="20"/>
          <w:szCs w:val="24"/>
        </w:rPr>
      </w:pPr>
      <w:r w:rsidRPr="00C85B70">
        <w:rPr>
          <w:rFonts w:asciiTheme="minorHAnsi" w:hAnsiTheme="minorHAnsi" w:cstheme="minorHAnsi"/>
          <w:sz w:val="20"/>
          <w:szCs w:val="24"/>
        </w:rPr>
        <w:t>MRK</w:t>
      </w:r>
      <w:r w:rsidRPr="00C85B70">
        <w:rPr>
          <w:rFonts w:asciiTheme="minorHAnsi" w:hAnsiTheme="minorHAnsi" w:cstheme="minorHAnsi"/>
          <w:sz w:val="20"/>
          <w:szCs w:val="24"/>
        </w:rPr>
        <w:tab/>
      </w:r>
      <w:r>
        <w:rPr>
          <w:rFonts w:asciiTheme="minorHAnsi" w:hAnsiTheme="minorHAnsi" w:cstheme="minorHAnsi"/>
          <w:sz w:val="20"/>
          <w:szCs w:val="24"/>
        </w:rPr>
        <w:tab/>
      </w:r>
      <w:r>
        <w:rPr>
          <w:rFonts w:asciiTheme="minorHAnsi" w:hAnsiTheme="minorHAnsi" w:cstheme="minorHAnsi"/>
          <w:sz w:val="20"/>
          <w:szCs w:val="24"/>
        </w:rPr>
        <w:tab/>
      </w:r>
      <w:r w:rsidRPr="00C85B70">
        <w:rPr>
          <w:rFonts w:asciiTheme="minorHAnsi" w:hAnsiTheme="minorHAnsi" w:cstheme="minorHAnsi"/>
          <w:sz w:val="20"/>
          <w:szCs w:val="24"/>
        </w:rPr>
        <w:t>marginalizované rómske komunity</w:t>
      </w:r>
    </w:p>
    <w:p w14:paraId="6D09F256" w14:textId="77777777" w:rsidR="00EE5328" w:rsidRPr="00E7697D" w:rsidRDefault="00EE5328" w:rsidP="00EE5328">
      <w:pPr>
        <w:spacing w:after="0" w:line="240" w:lineRule="auto"/>
        <w:contextualSpacing/>
        <w:jc w:val="both"/>
        <w:rPr>
          <w:rFonts w:asciiTheme="minorHAnsi" w:hAnsiTheme="minorHAnsi" w:cstheme="minorHAnsi"/>
          <w:sz w:val="20"/>
          <w:szCs w:val="24"/>
        </w:rPr>
      </w:pPr>
      <w:r w:rsidRPr="00E7697D">
        <w:rPr>
          <w:rFonts w:asciiTheme="minorHAnsi" w:hAnsiTheme="minorHAnsi" w:cstheme="minorHAnsi"/>
          <w:sz w:val="20"/>
          <w:szCs w:val="24"/>
        </w:rPr>
        <w:t>NP ZK 2A</w:t>
      </w:r>
      <w:r w:rsidRPr="00E7697D">
        <w:rPr>
          <w:rFonts w:asciiTheme="minorHAnsi" w:hAnsiTheme="minorHAnsi" w:cstheme="minorHAnsi"/>
          <w:sz w:val="20"/>
          <w:szCs w:val="24"/>
        </w:rPr>
        <w:tab/>
      </w:r>
      <w:r w:rsidRPr="00E7697D">
        <w:rPr>
          <w:rFonts w:asciiTheme="minorHAnsi" w:hAnsiTheme="minorHAnsi" w:cstheme="minorHAnsi"/>
          <w:sz w:val="20"/>
          <w:szCs w:val="24"/>
        </w:rPr>
        <w:tab/>
        <w:t>Národný projekt Zdravé komunity 2A</w:t>
      </w:r>
    </w:p>
    <w:p w14:paraId="6D09F257" w14:textId="77777777" w:rsidR="00EE5328" w:rsidRPr="00B963AA" w:rsidRDefault="00EE5328" w:rsidP="00EE5328">
      <w:pPr>
        <w:spacing w:after="0" w:line="240" w:lineRule="auto"/>
        <w:contextualSpacing/>
        <w:jc w:val="both"/>
        <w:rPr>
          <w:rFonts w:asciiTheme="minorHAnsi" w:hAnsiTheme="minorHAnsi" w:cstheme="minorHAnsi"/>
          <w:sz w:val="20"/>
          <w:szCs w:val="24"/>
        </w:rPr>
      </w:pPr>
      <w:r w:rsidRPr="00B963AA">
        <w:rPr>
          <w:rFonts w:asciiTheme="minorHAnsi" w:hAnsiTheme="minorHAnsi" w:cstheme="minorHAnsi"/>
          <w:sz w:val="20"/>
          <w:szCs w:val="24"/>
        </w:rPr>
        <w:t>NFP</w:t>
      </w:r>
      <w:r w:rsidRPr="00B963AA">
        <w:rPr>
          <w:rFonts w:asciiTheme="minorHAnsi" w:hAnsiTheme="minorHAnsi" w:cstheme="minorHAnsi"/>
          <w:sz w:val="20"/>
          <w:szCs w:val="24"/>
        </w:rPr>
        <w:tab/>
      </w:r>
      <w:r w:rsidRPr="00B963AA">
        <w:rPr>
          <w:rFonts w:asciiTheme="minorHAnsi" w:hAnsiTheme="minorHAnsi" w:cstheme="minorHAnsi"/>
          <w:sz w:val="20"/>
          <w:szCs w:val="24"/>
        </w:rPr>
        <w:tab/>
      </w:r>
      <w:r w:rsidRPr="00B963AA">
        <w:rPr>
          <w:rFonts w:asciiTheme="minorHAnsi" w:hAnsiTheme="minorHAnsi" w:cstheme="minorHAnsi"/>
          <w:sz w:val="20"/>
          <w:szCs w:val="24"/>
        </w:rPr>
        <w:tab/>
        <w:t>nenávratný finančný príspevok</w:t>
      </w:r>
    </w:p>
    <w:p w14:paraId="6D09F258" w14:textId="77777777" w:rsidR="00EE5328" w:rsidRPr="00E7697D" w:rsidRDefault="00EE5328" w:rsidP="00EE5328">
      <w:pPr>
        <w:spacing w:after="0" w:line="240" w:lineRule="auto"/>
        <w:contextualSpacing/>
        <w:jc w:val="both"/>
        <w:rPr>
          <w:rFonts w:asciiTheme="minorHAnsi" w:hAnsiTheme="minorHAnsi" w:cstheme="minorHAnsi"/>
          <w:sz w:val="20"/>
          <w:szCs w:val="24"/>
        </w:rPr>
      </w:pPr>
      <w:r w:rsidRPr="00E7697D">
        <w:rPr>
          <w:rFonts w:asciiTheme="minorHAnsi" w:hAnsiTheme="minorHAnsi" w:cstheme="minorHAnsi"/>
          <w:sz w:val="20"/>
          <w:szCs w:val="24"/>
        </w:rPr>
        <w:t>OP ĽZ</w:t>
      </w:r>
      <w:r w:rsidRPr="00E7697D">
        <w:rPr>
          <w:rFonts w:asciiTheme="minorHAnsi" w:hAnsiTheme="minorHAnsi" w:cstheme="minorHAnsi"/>
          <w:sz w:val="20"/>
          <w:szCs w:val="24"/>
        </w:rPr>
        <w:tab/>
      </w:r>
      <w:r w:rsidRPr="00E7697D">
        <w:rPr>
          <w:rFonts w:asciiTheme="minorHAnsi" w:hAnsiTheme="minorHAnsi" w:cstheme="minorHAnsi"/>
          <w:sz w:val="20"/>
          <w:szCs w:val="24"/>
        </w:rPr>
        <w:tab/>
      </w:r>
      <w:r w:rsidRPr="00E7697D">
        <w:rPr>
          <w:rFonts w:asciiTheme="minorHAnsi" w:hAnsiTheme="minorHAnsi" w:cstheme="minorHAnsi"/>
          <w:sz w:val="20"/>
          <w:szCs w:val="24"/>
        </w:rPr>
        <w:tab/>
        <w:t>Operačný program Ľudské zdroje</w:t>
      </w:r>
    </w:p>
    <w:p w14:paraId="6D09F259" w14:textId="77777777" w:rsidR="00EE5328" w:rsidRPr="00E7697D" w:rsidRDefault="00EE5328" w:rsidP="00EE5328">
      <w:pPr>
        <w:spacing w:after="0" w:line="240" w:lineRule="auto"/>
        <w:contextualSpacing/>
        <w:jc w:val="both"/>
        <w:rPr>
          <w:rFonts w:asciiTheme="minorHAnsi" w:hAnsiTheme="minorHAnsi" w:cstheme="minorHAnsi"/>
          <w:sz w:val="20"/>
          <w:szCs w:val="24"/>
        </w:rPr>
      </w:pPr>
      <w:r>
        <w:rPr>
          <w:rFonts w:asciiTheme="minorHAnsi" w:hAnsiTheme="minorHAnsi" w:cstheme="minorHAnsi"/>
          <w:sz w:val="20"/>
          <w:szCs w:val="24"/>
        </w:rPr>
        <w:t>S</w:t>
      </w:r>
      <w:r w:rsidRPr="00E7697D">
        <w:rPr>
          <w:rFonts w:asciiTheme="minorHAnsi" w:hAnsiTheme="minorHAnsi" w:cstheme="minorHAnsi"/>
          <w:sz w:val="20"/>
          <w:szCs w:val="24"/>
        </w:rPr>
        <w:t>O</w:t>
      </w:r>
      <w:r w:rsidRPr="00E7697D">
        <w:rPr>
          <w:rFonts w:asciiTheme="minorHAnsi" w:hAnsiTheme="minorHAnsi" w:cstheme="minorHAnsi"/>
          <w:sz w:val="20"/>
          <w:szCs w:val="24"/>
        </w:rPr>
        <w:tab/>
      </w:r>
      <w:r w:rsidRPr="00E7697D">
        <w:rPr>
          <w:rFonts w:asciiTheme="minorHAnsi" w:hAnsiTheme="minorHAnsi" w:cstheme="minorHAnsi"/>
          <w:sz w:val="20"/>
          <w:szCs w:val="24"/>
        </w:rPr>
        <w:tab/>
      </w:r>
      <w:r w:rsidRPr="00E7697D">
        <w:rPr>
          <w:rFonts w:asciiTheme="minorHAnsi" w:hAnsiTheme="minorHAnsi" w:cstheme="minorHAnsi"/>
          <w:sz w:val="20"/>
          <w:szCs w:val="24"/>
        </w:rPr>
        <w:tab/>
      </w:r>
      <w:r>
        <w:rPr>
          <w:rFonts w:asciiTheme="minorHAnsi" w:hAnsiTheme="minorHAnsi" w:cstheme="minorHAnsi"/>
          <w:sz w:val="20"/>
          <w:szCs w:val="24"/>
        </w:rPr>
        <w:t>sprostredkovateľský</w:t>
      </w:r>
      <w:r w:rsidRPr="00E7697D">
        <w:rPr>
          <w:rFonts w:asciiTheme="minorHAnsi" w:hAnsiTheme="minorHAnsi" w:cstheme="minorHAnsi"/>
          <w:sz w:val="20"/>
          <w:szCs w:val="24"/>
        </w:rPr>
        <w:t xml:space="preserve"> orgán pre OP ĽZ</w:t>
      </w:r>
      <w:r>
        <w:rPr>
          <w:rFonts w:asciiTheme="minorHAnsi" w:hAnsiTheme="minorHAnsi" w:cstheme="minorHAnsi"/>
          <w:sz w:val="20"/>
          <w:szCs w:val="24"/>
        </w:rPr>
        <w:t xml:space="preserve"> pre prioritnú os 5 a 6</w:t>
      </w:r>
    </w:p>
    <w:p w14:paraId="6D09F25A" w14:textId="77777777" w:rsidR="00EE5328" w:rsidRPr="00DB0740" w:rsidRDefault="00EE5328" w:rsidP="00EE5328">
      <w:pPr>
        <w:spacing w:after="0" w:line="240" w:lineRule="auto"/>
        <w:contextualSpacing/>
        <w:jc w:val="both"/>
        <w:rPr>
          <w:rFonts w:asciiTheme="minorHAnsi" w:hAnsiTheme="minorHAnsi" w:cstheme="minorHAnsi"/>
          <w:sz w:val="20"/>
          <w:szCs w:val="24"/>
        </w:rPr>
      </w:pPr>
      <w:r w:rsidRPr="00DB0740">
        <w:rPr>
          <w:rFonts w:asciiTheme="minorHAnsi" w:hAnsiTheme="minorHAnsi" w:cstheme="minorHAnsi"/>
          <w:sz w:val="20"/>
          <w:szCs w:val="24"/>
        </w:rPr>
        <w:t>SR</w:t>
      </w:r>
      <w:r w:rsidRPr="00DB0740">
        <w:rPr>
          <w:rFonts w:asciiTheme="minorHAnsi" w:hAnsiTheme="minorHAnsi" w:cstheme="minorHAnsi"/>
          <w:sz w:val="20"/>
          <w:szCs w:val="24"/>
        </w:rPr>
        <w:tab/>
      </w:r>
      <w:r w:rsidRPr="00DB0740">
        <w:rPr>
          <w:rFonts w:asciiTheme="minorHAnsi" w:hAnsiTheme="minorHAnsi" w:cstheme="minorHAnsi"/>
          <w:sz w:val="20"/>
          <w:szCs w:val="24"/>
        </w:rPr>
        <w:tab/>
      </w:r>
      <w:r w:rsidRPr="00DB0740">
        <w:rPr>
          <w:rFonts w:asciiTheme="minorHAnsi" w:hAnsiTheme="minorHAnsi" w:cstheme="minorHAnsi"/>
          <w:sz w:val="20"/>
          <w:szCs w:val="24"/>
        </w:rPr>
        <w:tab/>
        <w:t>Slovenská republika</w:t>
      </w:r>
    </w:p>
    <w:p w14:paraId="6D09F25B" w14:textId="77777777" w:rsidR="00EE5328" w:rsidRPr="009E53C7" w:rsidRDefault="00EE5328" w:rsidP="00EE5328">
      <w:pPr>
        <w:spacing w:after="0" w:line="240" w:lineRule="auto"/>
        <w:contextualSpacing/>
        <w:jc w:val="both"/>
        <w:rPr>
          <w:rFonts w:asciiTheme="minorHAnsi" w:hAnsiTheme="minorHAnsi" w:cstheme="minorHAnsi"/>
          <w:sz w:val="20"/>
          <w:szCs w:val="24"/>
        </w:rPr>
      </w:pPr>
      <w:r w:rsidRPr="009E53C7">
        <w:rPr>
          <w:rFonts w:asciiTheme="minorHAnsi" w:hAnsiTheme="minorHAnsi" w:cstheme="minorHAnsi"/>
          <w:sz w:val="20"/>
          <w:szCs w:val="24"/>
        </w:rPr>
        <w:t>ŠSJN</w:t>
      </w:r>
      <w:r w:rsidRPr="009E53C7">
        <w:rPr>
          <w:rFonts w:asciiTheme="minorHAnsi" w:hAnsiTheme="minorHAnsi" w:cstheme="minorHAnsi"/>
          <w:sz w:val="20"/>
          <w:szCs w:val="24"/>
        </w:rPr>
        <w:tab/>
      </w:r>
      <w:r w:rsidRPr="009E53C7">
        <w:rPr>
          <w:rFonts w:asciiTheme="minorHAnsi" w:hAnsiTheme="minorHAnsi" w:cstheme="minorHAnsi"/>
          <w:sz w:val="20"/>
          <w:szCs w:val="24"/>
        </w:rPr>
        <w:tab/>
      </w:r>
      <w:r w:rsidRPr="009E53C7">
        <w:rPr>
          <w:rFonts w:asciiTheme="minorHAnsi" w:hAnsiTheme="minorHAnsi" w:cstheme="minorHAnsi"/>
          <w:sz w:val="20"/>
          <w:szCs w:val="24"/>
        </w:rPr>
        <w:tab/>
        <w:t>štandardná stupnica jednotkových nákladov</w:t>
      </w:r>
    </w:p>
    <w:p w14:paraId="6D09F25C" w14:textId="77777777" w:rsidR="00EE5328" w:rsidRPr="008B3008" w:rsidRDefault="00EE5328" w:rsidP="00EE5328">
      <w:pPr>
        <w:spacing w:after="0" w:line="240" w:lineRule="auto"/>
        <w:contextualSpacing/>
        <w:jc w:val="both"/>
        <w:rPr>
          <w:rFonts w:asciiTheme="minorHAnsi" w:hAnsiTheme="minorHAnsi" w:cstheme="minorHAnsi"/>
          <w:sz w:val="20"/>
          <w:szCs w:val="24"/>
        </w:rPr>
      </w:pPr>
      <w:r>
        <w:rPr>
          <w:rFonts w:asciiTheme="minorHAnsi" w:hAnsiTheme="minorHAnsi" w:cstheme="minorHAnsi"/>
          <w:sz w:val="20"/>
          <w:szCs w:val="24"/>
        </w:rPr>
        <w:t>Zmluva o NFP</w:t>
      </w:r>
      <w:r>
        <w:rPr>
          <w:rFonts w:asciiTheme="minorHAnsi" w:hAnsiTheme="minorHAnsi" w:cstheme="minorHAnsi"/>
          <w:sz w:val="20"/>
          <w:szCs w:val="24"/>
        </w:rPr>
        <w:tab/>
      </w:r>
      <w:r>
        <w:rPr>
          <w:rFonts w:asciiTheme="minorHAnsi" w:hAnsiTheme="minorHAnsi" w:cstheme="minorHAnsi"/>
          <w:sz w:val="20"/>
          <w:szCs w:val="24"/>
        </w:rPr>
        <w:tab/>
        <w:t>zmluva o poskytnutí nenávratného finančného príspevku</w:t>
      </w:r>
    </w:p>
    <w:p w14:paraId="6D09F25D" w14:textId="77777777" w:rsidR="00EE5328" w:rsidRDefault="00EE5328" w:rsidP="00EE5328">
      <w:pPr>
        <w:spacing w:after="0" w:line="240" w:lineRule="auto"/>
        <w:ind w:left="3544" w:hanging="3544"/>
        <w:contextualSpacing/>
        <w:jc w:val="both"/>
        <w:rPr>
          <w:rFonts w:asciiTheme="minorHAnsi" w:hAnsiTheme="minorHAnsi" w:cstheme="minorHAnsi"/>
          <w:sz w:val="24"/>
          <w:szCs w:val="24"/>
        </w:rPr>
      </w:pPr>
    </w:p>
    <w:p w14:paraId="6D09F25E" w14:textId="77777777" w:rsidR="00EE5328" w:rsidRPr="007C1738" w:rsidRDefault="00EE5328" w:rsidP="00EE5328">
      <w:pPr>
        <w:spacing w:after="0" w:line="240" w:lineRule="auto"/>
        <w:ind w:left="3544" w:hanging="3544"/>
        <w:contextualSpacing/>
        <w:jc w:val="both"/>
        <w:rPr>
          <w:rFonts w:asciiTheme="minorHAnsi" w:hAnsiTheme="minorHAnsi" w:cstheme="minorHAnsi"/>
          <w:sz w:val="24"/>
          <w:szCs w:val="24"/>
        </w:rPr>
      </w:pPr>
    </w:p>
    <w:p w14:paraId="6D09F25F" w14:textId="77777777" w:rsidR="00EE5328" w:rsidRDefault="00EE5328" w:rsidP="00EE5328">
      <w:pPr>
        <w:spacing w:after="0" w:line="240" w:lineRule="auto"/>
        <w:ind w:left="3544" w:hanging="3544"/>
        <w:contextualSpacing/>
        <w:jc w:val="both"/>
        <w:rPr>
          <w:rFonts w:asciiTheme="minorHAnsi" w:hAnsiTheme="minorHAnsi" w:cstheme="minorHAnsi"/>
          <w:sz w:val="24"/>
          <w:szCs w:val="24"/>
        </w:rPr>
      </w:pPr>
    </w:p>
    <w:p w14:paraId="6D09F260" w14:textId="77777777" w:rsidR="00EE5328" w:rsidRPr="007C1738" w:rsidRDefault="00EE5328" w:rsidP="00EE5328">
      <w:pPr>
        <w:rPr>
          <w:rFonts w:asciiTheme="minorHAnsi" w:hAnsiTheme="minorHAnsi" w:cstheme="minorHAnsi"/>
          <w:sz w:val="24"/>
          <w:szCs w:val="24"/>
        </w:rPr>
      </w:pPr>
      <w:r>
        <w:rPr>
          <w:rFonts w:asciiTheme="minorHAnsi" w:hAnsiTheme="minorHAnsi" w:cstheme="minorHAnsi"/>
          <w:sz w:val="24"/>
          <w:szCs w:val="24"/>
        </w:rPr>
        <w:br w:type="page"/>
      </w:r>
    </w:p>
    <w:p w14:paraId="6D09F261" w14:textId="77777777" w:rsidR="00EE5328" w:rsidRPr="002503FC" w:rsidRDefault="00EE5328" w:rsidP="00713338">
      <w:pPr>
        <w:pStyle w:val="Nadpis1"/>
        <w:numPr>
          <w:ilvl w:val="0"/>
          <w:numId w:val="1"/>
        </w:numPr>
        <w:ind w:left="426" w:hanging="426"/>
      </w:pPr>
      <w:bookmarkStart w:id="0" w:name="_Toc484698432"/>
      <w:bookmarkStart w:id="1" w:name="_Toc484698531"/>
      <w:bookmarkStart w:id="2" w:name="_Toc484702497"/>
      <w:r w:rsidRPr="002503FC">
        <w:lastRenderedPageBreak/>
        <w:t xml:space="preserve">Teoretické </w:t>
      </w:r>
      <w:r w:rsidRPr="00713338">
        <w:t>východiská</w:t>
      </w:r>
      <w:r w:rsidRPr="002503FC">
        <w:t xml:space="preserve"> a ciele</w:t>
      </w:r>
      <w:bookmarkEnd w:id="0"/>
      <w:bookmarkEnd w:id="1"/>
      <w:bookmarkEnd w:id="2"/>
    </w:p>
    <w:p w14:paraId="6D09F262" w14:textId="77777777" w:rsidR="00EE5328" w:rsidRPr="008B3008" w:rsidRDefault="00EE5328" w:rsidP="00713338">
      <w:pPr>
        <w:spacing w:before="60" w:afterLines="60" w:after="144"/>
        <w:jc w:val="both"/>
        <w:rPr>
          <w:rFonts w:asciiTheme="minorHAnsi" w:hAnsiTheme="minorHAnsi" w:cstheme="minorHAnsi"/>
          <w:sz w:val="20"/>
          <w:szCs w:val="24"/>
        </w:rPr>
      </w:pPr>
      <w:r w:rsidRPr="008B3008">
        <w:rPr>
          <w:rFonts w:asciiTheme="minorHAnsi" w:hAnsiTheme="minorHAnsi" w:cstheme="minorHAnsi"/>
          <w:sz w:val="20"/>
          <w:szCs w:val="24"/>
        </w:rPr>
        <w:t>Štandardná stupnica jednotkových nákladov pre národný projekt „</w:t>
      </w:r>
      <w:r>
        <w:rPr>
          <w:rFonts w:asciiTheme="minorHAnsi" w:hAnsiTheme="minorHAnsi" w:cstheme="minorHAnsi"/>
          <w:sz w:val="20"/>
          <w:szCs w:val="24"/>
        </w:rPr>
        <w:t>Zdravé komunity 2A</w:t>
      </w:r>
      <w:r w:rsidRPr="008B3008">
        <w:rPr>
          <w:rFonts w:asciiTheme="minorHAnsi" w:hAnsiTheme="minorHAnsi" w:cstheme="minorHAnsi"/>
          <w:sz w:val="20"/>
          <w:szCs w:val="24"/>
        </w:rPr>
        <w:t>“ vychádza zo základného metodického rámca Európskej komisie stanoveného v dokumente „Usmernenia týkajúce sa zjednodušených možností vykazovania nákladov“.</w:t>
      </w:r>
    </w:p>
    <w:p w14:paraId="6D09F263" w14:textId="77777777" w:rsidR="00EE5328" w:rsidRPr="00E7697D" w:rsidRDefault="00EE5328" w:rsidP="00713338">
      <w:pPr>
        <w:spacing w:before="60" w:afterLines="60" w:after="144"/>
        <w:jc w:val="both"/>
        <w:rPr>
          <w:rFonts w:asciiTheme="minorHAnsi" w:hAnsiTheme="minorHAnsi" w:cstheme="minorHAnsi"/>
          <w:sz w:val="20"/>
          <w:szCs w:val="24"/>
        </w:rPr>
      </w:pPr>
      <w:r w:rsidRPr="00E7697D">
        <w:rPr>
          <w:rFonts w:asciiTheme="minorHAnsi" w:hAnsiTheme="minorHAnsi" w:cstheme="minorHAnsi"/>
          <w:sz w:val="20"/>
          <w:szCs w:val="24"/>
        </w:rPr>
        <w:t>Vykazovanie oprávnených nákladov na základe štandardnej stupnice jednotkových nákladov, tzv. „standard scale of unit costs“, sa vykonáva podľa čl. 67 ods. 1 písm. b nariadenia Európskeho parlamentu a Rady (EÚ) č. 1303/2013</w:t>
      </w:r>
      <w:r>
        <w:rPr>
          <w:rStyle w:val="Odkaznapoznmkupodiarou"/>
          <w:rFonts w:asciiTheme="minorHAnsi" w:hAnsiTheme="minorHAnsi" w:cstheme="minorHAnsi"/>
          <w:sz w:val="20"/>
          <w:szCs w:val="24"/>
        </w:rPr>
        <w:footnoteReference w:id="2"/>
      </w:r>
      <w:r w:rsidRPr="00E7697D">
        <w:rPr>
          <w:rFonts w:asciiTheme="minorHAnsi" w:hAnsiTheme="minorHAnsi" w:cstheme="minorHAnsi"/>
          <w:sz w:val="20"/>
          <w:szCs w:val="24"/>
        </w:rPr>
        <w:t xml:space="preserve"> a v súlade s čl. 67 ods. 5 písm. a) i) uvedeného nariadenia. </w:t>
      </w:r>
    </w:p>
    <w:p w14:paraId="6D09F264" w14:textId="77777777" w:rsidR="00681462" w:rsidRDefault="00EE5328" w:rsidP="00713338">
      <w:pPr>
        <w:jc w:val="both"/>
        <w:rPr>
          <w:rFonts w:asciiTheme="minorHAnsi" w:hAnsiTheme="minorHAnsi" w:cstheme="minorHAnsi"/>
          <w:sz w:val="20"/>
          <w:szCs w:val="24"/>
        </w:rPr>
      </w:pPr>
      <w:r w:rsidRPr="00E7697D">
        <w:rPr>
          <w:rFonts w:asciiTheme="minorHAnsi" w:hAnsiTheme="minorHAnsi" w:cstheme="minorHAnsi"/>
          <w:sz w:val="20"/>
          <w:szCs w:val="24"/>
        </w:rPr>
        <w:t xml:space="preserve">Cieľom aplikácie štandardnej stupnice jednotkových nákladov je zjednodušenie vykazovania oprávnených priamych nákladov formou jednotkových cien, zjednodušenie systému preukázateľnosti oprávnených nákladov, zjednodušenie overovania a kontroly, uľahčenie a zefektívnenie overovania zo strany </w:t>
      </w:r>
      <w:r>
        <w:rPr>
          <w:rFonts w:asciiTheme="minorHAnsi" w:hAnsiTheme="minorHAnsi" w:cstheme="minorHAnsi"/>
          <w:sz w:val="20"/>
          <w:szCs w:val="24"/>
        </w:rPr>
        <w:t>s</w:t>
      </w:r>
      <w:r w:rsidRPr="00E7697D">
        <w:rPr>
          <w:rFonts w:asciiTheme="minorHAnsi" w:hAnsiTheme="minorHAnsi" w:cstheme="minorHAnsi"/>
          <w:sz w:val="20"/>
          <w:szCs w:val="24"/>
        </w:rPr>
        <w:t>prostredkovateľského orgánu pre OP ĽZ</w:t>
      </w:r>
      <w:r w:rsidRPr="00E7697D">
        <w:rPr>
          <w:rFonts w:asciiTheme="minorHAnsi" w:hAnsiTheme="minorHAnsi" w:cstheme="minorHAnsi"/>
          <w:sz w:val="20"/>
          <w:szCs w:val="24"/>
          <w:vertAlign w:val="superscript"/>
        </w:rPr>
        <w:footnoteReference w:id="3"/>
      </w:r>
      <w:r w:rsidRPr="00E7697D">
        <w:rPr>
          <w:rFonts w:asciiTheme="minorHAnsi" w:hAnsiTheme="minorHAnsi" w:cstheme="minorHAnsi"/>
          <w:sz w:val="20"/>
          <w:szCs w:val="24"/>
        </w:rPr>
        <w:t>, a to za účelom efektívnej a plynulej implementácie národného projektu</w:t>
      </w:r>
      <w:r>
        <w:rPr>
          <w:rFonts w:asciiTheme="minorHAnsi" w:hAnsiTheme="minorHAnsi" w:cstheme="minorHAnsi"/>
          <w:sz w:val="20"/>
          <w:szCs w:val="24"/>
        </w:rPr>
        <w:t xml:space="preserve"> formou: jednotkovej ceny na pracovné miesta asistentov osvety zdravia (ďalej len „AOZ), predmetom činnosti ktorých je výkon zdravotnej mediácie v prostredí MRK na komunitnej úrovni v súlade s pracovnou náplňou a pracovnou zmluvou</w:t>
      </w:r>
      <w:r w:rsidRPr="00E7697D">
        <w:rPr>
          <w:rFonts w:asciiTheme="minorHAnsi" w:hAnsiTheme="minorHAnsi" w:cstheme="minorHAnsi"/>
          <w:sz w:val="20"/>
          <w:szCs w:val="24"/>
        </w:rPr>
        <w:t>. Výška jednotkovej ceny je stanovená týmto dokumentom.</w:t>
      </w:r>
    </w:p>
    <w:p w14:paraId="6D09F265" w14:textId="77777777" w:rsidR="00EE5328" w:rsidRPr="00E7697D" w:rsidRDefault="00EE5328" w:rsidP="00713338">
      <w:pPr>
        <w:pStyle w:val="Bezriadkovania"/>
        <w:spacing w:before="60" w:afterLines="60" w:after="144" w:line="276" w:lineRule="auto"/>
        <w:jc w:val="both"/>
        <w:rPr>
          <w:rFonts w:asciiTheme="minorHAnsi" w:hAnsiTheme="minorHAnsi" w:cstheme="minorHAnsi"/>
          <w:sz w:val="20"/>
          <w:szCs w:val="24"/>
        </w:rPr>
      </w:pPr>
      <w:r w:rsidRPr="00E7697D">
        <w:rPr>
          <w:rFonts w:asciiTheme="minorHAnsi" w:hAnsiTheme="minorHAnsi" w:cstheme="minorHAnsi"/>
          <w:sz w:val="20"/>
          <w:szCs w:val="24"/>
        </w:rPr>
        <w:t xml:space="preserve">Uplatňovanie zjednodušeného vykazovania oprávnených nákladov definované v tomto dokumente sa vzťahuje výlučne na NP ZK 2A, ktorý je spolufinancovaný zo zdrojov </w:t>
      </w:r>
      <w:r>
        <w:rPr>
          <w:rFonts w:asciiTheme="minorHAnsi" w:hAnsiTheme="minorHAnsi" w:cstheme="minorHAnsi"/>
          <w:sz w:val="20"/>
          <w:szCs w:val="24"/>
        </w:rPr>
        <w:t>ESF</w:t>
      </w:r>
      <w:r w:rsidRPr="00E7697D">
        <w:rPr>
          <w:rFonts w:asciiTheme="minorHAnsi" w:hAnsiTheme="minorHAnsi" w:cstheme="minorHAnsi"/>
          <w:sz w:val="20"/>
          <w:szCs w:val="24"/>
        </w:rPr>
        <w:t xml:space="preserve"> v rámci OP ĽZ</w:t>
      </w:r>
      <w:r>
        <w:rPr>
          <w:rFonts w:asciiTheme="minorHAnsi" w:hAnsiTheme="minorHAnsi" w:cstheme="minorHAnsi"/>
          <w:sz w:val="20"/>
          <w:szCs w:val="24"/>
        </w:rPr>
        <w:t>.</w:t>
      </w:r>
    </w:p>
    <w:p w14:paraId="6D09F266" w14:textId="77777777" w:rsidR="00EE5328" w:rsidRPr="00DB0740" w:rsidRDefault="00EE5328" w:rsidP="00713338">
      <w:pPr>
        <w:pStyle w:val="Bezriadkovania"/>
        <w:spacing w:before="60" w:afterLines="60" w:after="144" w:line="276" w:lineRule="auto"/>
        <w:jc w:val="both"/>
        <w:rPr>
          <w:rFonts w:asciiTheme="minorHAnsi" w:hAnsiTheme="minorHAnsi" w:cstheme="minorHAnsi"/>
          <w:sz w:val="20"/>
          <w:szCs w:val="24"/>
        </w:rPr>
      </w:pPr>
      <w:r w:rsidRPr="00DB0740">
        <w:rPr>
          <w:rFonts w:asciiTheme="minorHAnsi" w:hAnsiTheme="minorHAnsi" w:cstheme="minorHAnsi"/>
          <w:sz w:val="20"/>
          <w:szCs w:val="24"/>
        </w:rPr>
        <w:t>Uplatňovaním štandardných stupníc jednotkových nákladov ako oprávnených výdavkov zo strany SO nie sú dotknuté povinnosti prijímateľa vyplývajúce zo všeobecne záväzných právnych predpisov SR a EÚ.</w:t>
      </w:r>
    </w:p>
    <w:p w14:paraId="6D09F267" w14:textId="77777777" w:rsidR="00EE5328" w:rsidRDefault="00EE5328" w:rsidP="00713338">
      <w:pPr>
        <w:jc w:val="both"/>
        <w:rPr>
          <w:rFonts w:asciiTheme="minorHAnsi" w:hAnsiTheme="minorHAnsi" w:cstheme="minorHAnsi"/>
          <w:sz w:val="20"/>
          <w:szCs w:val="24"/>
        </w:rPr>
      </w:pPr>
      <w:r w:rsidRPr="00DB0740">
        <w:rPr>
          <w:rFonts w:asciiTheme="minorHAnsi" w:hAnsiTheme="minorHAnsi" w:cstheme="minorHAnsi"/>
          <w:sz w:val="20"/>
          <w:szCs w:val="24"/>
        </w:rPr>
        <w:t>Za účelom spravodlivého a nestranného stanovenia hodnôt jednotkových cien a zjednodušeného vykazovania nákladov (aproximácie hodnôt reálnych nákladov, definovaných maximálnym možným priblížením skutočných nákladov potrebám projektu pri súčasnom uplatnení princípu hospodárnosti nákladov), sa výška jednotkových cien stanovuje na základe relevantných právnych predpisov SR, dostupných štatistických údajov alebo matematických metód.</w:t>
      </w:r>
    </w:p>
    <w:p w14:paraId="6D09F268" w14:textId="77777777" w:rsidR="00EE5328" w:rsidRDefault="002503FC" w:rsidP="00713338">
      <w:pPr>
        <w:pStyle w:val="Nadpis1"/>
      </w:pPr>
      <w:bookmarkStart w:id="3" w:name="_Toc484702498"/>
      <w:r w:rsidRPr="00C258B3">
        <w:t>Metodika</w:t>
      </w:r>
      <w:r w:rsidRPr="00DF0255">
        <w:t xml:space="preserve"> ustanovenia výšky oprávnených výdavkov</w:t>
      </w:r>
      <w:bookmarkEnd w:id="3"/>
    </w:p>
    <w:p w14:paraId="6D09F269" w14:textId="77777777" w:rsidR="002503FC" w:rsidRDefault="00713338" w:rsidP="002503FC">
      <w:pPr>
        <w:pStyle w:val="Nadpis2"/>
      </w:pPr>
      <w:bookmarkStart w:id="4" w:name="_Toc473885505"/>
      <w:bookmarkStart w:id="5" w:name="_Toc480441444"/>
      <w:bookmarkStart w:id="6" w:name="_Toc484698434"/>
      <w:bookmarkStart w:id="7" w:name="_Toc484698533"/>
      <w:bookmarkStart w:id="8" w:name="_Toc484702499"/>
      <w:r w:rsidRPr="00863280">
        <w:t>Základné východiská</w:t>
      </w:r>
      <w:bookmarkEnd w:id="4"/>
      <w:bookmarkEnd w:id="5"/>
      <w:bookmarkEnd w:id="6"/>
      <w:bookmarkEnd w:id="7"/>
      <w:bookmarkEnd w:id="8"/>
    </w:p>
    <w:p w14:paraId="6D09F26A" w14:textId="77777777" w:rsidR="00713338" w:rsidRDefault="00713338" w:rsidP="00713338">
      <w:pPr>
        <w:spacing w:before="60" w:after="60"/>
        <w:jc w:val="both"/>
        <w:rPr>
          <w:rFonts w:asciiTheme="minorHAnsi" w:hAnsiTheme="minorHAnsi" w:cstheme="minorHAnsi"/>
          <w:sz w:val="20"/>
          <w:szCs w:val="24"/>
          <w:highlight w:val="yellow"/>
        </w:rPr>
      </w:pPr>
      <w:r w:rsidRPr="00065E8B">
        <w:rPr>
          <w:rFonts w:asciiTheme="minorHAnsi" w:hAnsiTheme="minorHAnsi" w:cstheme="minorHAnsi"/>
          <w:sz w:val="20"/>
          <w:szCs w:val="24"/>
        </w:rPr>
        <w:t>Prijímateľom NFP je štátna príspevková organizácia Zdravé regióny</w:t>
      </w:r>
      <w:r w:rsidRPr="00FB3757">
        <w:rPr>
          <w:rFonts w:asciiTheme="minorHAnsi" w:hAnsiTheme="minorHAnsi" w:cstheme="minorHAnsi"/>
          <w:sz w:val="20"/>
          <w:szCs w:val="24"/>
        </w:rPr>
        <w:t xml:space="preserve">. Výkon zdravotnej mediácie v prostredí MRK na komunitnej úrovni bude vykonávaný a financovaný na základe </w:t>
      </w:r>
      <w:r>
        <w:rPr>
          <w:rFonts w:asciiTheme="minorHAnsi" w:hAnsiTheme="minorHAnsi" w:cstheme="minorHAnsi"/>
          <w:sz w:val="20"/>
          <w:szCs w:val="24"/>
        </w:rPr>
        <w:t>Z</w:t>
      </w:r>
      <w:r w:rsidRPr="00FB3757">
        <w:rPr>
          <w:rFonts w:asciiTheme="minorHAnsi" w:hAnsiTheme="minorHAnsi" w:cstheme="minorHAnsi"/>
          <w:sz w:val="20"/>
          <w:szCs w:val="24"/>
        </w:rPr>
        <w:t>mluvy o NFP.</w:t>
      </w:r>
    </w:p>
    <w:p w14:paraId="6D09F26B" w14:textId="77777777" w:rsidR="00713338" w:rsidRPr="00B963AA" w:rsidRDefault="00713338" w:rsidP="00713338">
      <w:pPr>
        <w:spacing w:before="60" w:after="60"/>
        <w:jc w:val="both"/>
        <w:rPr>
          <w:rFonts w:asciiTheme="minorHAnsi" w:hAnsiTheme="minorHAnsi" w:cstheme="minorHAnsi"/>
          <w:sz w:val="20"/>
          <w:szCs w:val="24"/>
        </w:rPr>
      </w:pPr>
      <w:r w:rsidRPr="00B963AA">
        <w:rPr>
          <w:rFonts w:asciiTheme="minorHAnsi" w:hAnsiTheme="minorHAnsi" w:cstheme="minorHAnsi"/>
          <w:sz w:val="20"/>
          <w:szCs w:val="24"/>
        </w:rPr>
        <w:t>Z pohľadu nastavenia štandardnej stupnice jednotkových nákladov vo vzťahu k charakteru a obsahu aktivít národného projektu sú relevantné tieto informácie:</w:t>
      </w:r>
    </w:p>
    <w:p w14:paraId="6D09F26C" w14:textId="77777777" w:rsidR="00713338" w:rsidRDefault="00713338" w:rsidP="00713338">
      <w:pPr>
        <w:pStyle w:val="Odsekzoznamu"/>
        <w:numPr>
          <w:ilvl w:val="0"/>
          <w:numId w:val="9"/>
        </w:numPr>
        <w:autoSpaceDE w:val="0"/>
        <w:autoSpaceDN w:val="0"/>
        <w:adjustRightInd w:val="0"/>
        <w:spacing w:before="60" w:after="60"/>
        <w:ind w:left="567" w:hanging="283"/>
        <w:contextualSpacing w:val="0"/>
        <w:jc w:val="both"/>
        <w:rPr>
          <w:rFonts w:asciiTheme="minorHAnsi" w:hAnsiTheme="minorHAnsi" w:cstheme="minorHAnsi"/>
          <w:sz w:val="20"/>
          <w:szCs w:val="24"/>
        </w:rPr>
      </w:pPr>
      <w:r>
        <w:rPr>
          <w:rFonts w:asciiTheme="minorHAnsi" w:hAnsiTheme="minorHAnsi" w:cstheme="minorHAnsi"/>
          <w:sz w:val="20"/>
          <w:szCs w:val="24"/>
        </w:rPr>
        <w:t>p</w:t>
      </w:r>
      <w:r w:rsidRPr="00B963AA">
        <w:rPr>
          <w:rFonts w:asciiTheme="minorHAnsi" w:hAnsiTheme="minorHAnsi" w:cstheme="minorHAnsi"/>
          <w:sz w:val="20"/>
          <w:szCs w:val="24"/>
        </w:rPr>
        <w:t>rijímateľovi NFP sú náklady súvisiace s</w:t>
      </w:r>
      <w:r>
        <w:rPr>
          <w:rFonts w:asciiTheme="minorHAnsi" w:hAnsiTheme="minorHAnsi" w:cstheme="minorHAnsi"/>
          <w:sz w:val="20"/>
          <w:szCs w:val="24"/>
        </w:rPr>
        <w:t> činnosťou zamestnancov uhrádzané</w:t>
      </w:r>
      <w:r w:rsidRPr="00FB3C56">
        <w:rPr>
          <w:rFonts w:asciiTheme="minorHAnsi" w:hAnsiTheme="minorHAnsi" w:cstheme="minorHAnsi"/>
          <w:sz w:val="20"/>
          <w:szCs w:val="24"/>
        </w:rPr>
        <w:t xml:space="preserve"> </w:t>
      </w:r>
      <w:r w:rsidRPr="00B963AA">
        <w:rPr>
          <w:rFonts w:asciiTheme="minorHAnsi" w:hAnsiTheme="minorHAnsi" w:cstheme="minorHAnsi"/>
          <w:sz w:val="20"/>
          <w:szCs w:val="24"/>
        </w:rPr>
        <w:t xml:space="preserve">v súlade so </w:t>
      </w:r>
      <w:r>
        <w:rPr>
          <w:rFonts w:asciiTheme="minorHAnsi" w:hAnsiTheme="minorHAnsi" w:cstheme="minorHAnsi"/>
          <w:sz w:val="20"/>
          <w:szCs w:val="24"/>
        </w:rPr>
        <w:t>Z</w:t>
      </w:r>
      <w:r w:rsidRPr="00B963AA">
        <w:rPr>
          <w:rFonts w:asciiTheme="minorHAnsi" w:hAnsiTheme="minorHAnsi" w:cstheme="minorHAnsi"/>
          <w:sz w:val="20"/>
          <w:szCs w:val="24"/>
        </w:rPr>
        <w:t>mluvou o NFP</w:t>
      </w:r>
      <w:r>
        <w:rPr>
          <w:rFonts w:asciiTheme="minorHAnsi" w:hAnsiTheme="minorHAnsi" w:cstheme="minorHAnsi"/>
          <w:sz w:val="20"/>
          <w:szCs w:val="24"/>
        </w:rPr>
        <w:t>,</w:t>
      </w:r>
    </w:p>
    <w:p w14:paraId="6D09F26D" w14:textId="77777777" w:rsidR="00713338" w:rsidRDefault="00713338" w:rsidP="00713338">
      <w:pPr>
        <w:pStyle w:val="Odsekzoznamu"/>
        <w:numPr>
          <w:ilvl w:val="0"/>
          <w:numId w:val="9"/>
        </w:numPr>
        <w:autoSpaceDE w:val="0"/>
        <w:autoSpaceDN w:val="0"/>
        <w:adjustRightInd w:val="0"/>
        <w:spacing w:before="60" w:after="60"/>
        <w:ind w:left="567" w:hanging="283"/>
        <w:contextualSpacing w:val="0"/>
        <w:jc w:val="both"/>
        <w:rPr>
          <w:rFonts w:asciiTheme="minorHAnsi" w:hAnsiTheme="minorHAnsi" w:cstheme="minorHAnsi"/>
          <w:sz w:val="20"/>
          <w:szCs w:val="24"/>
        </w:rPr>
      </w:pPr>
      <w:r>
        <w:rPr>
          <w:rFonts w:asciiTheme="minorHAnsi" w:hAnsiTheme="minorHAnsi" w:cstheme="minorHAnsi"/>
          <w:sz w:val="20"/>
          <w:szCs w:val="24"/>
        </w:rPr>
        <w:t>S</w:t>
      </w:r>
      <w:r w:rsidRPr="00B963AA">
        <w:rPr>
          <w:rFonts w:asciiTheme="minorHAnsi" w:hAnsiTheme="minorHAnsi" w:cstheme="minorHAnsi"/>
          <w:sz w:val="20"/>
          <w:szCs w:val="24"/>
        </w:rPr>
        <w:t>O poskytuje finančné prostriedky</w:t>
      </w:r>
      <w:r>
        <w:rPr>
          <w:rFonts w:asciiTheme="minorHAnsi" w:hAnsiTheme="minorHAnsi" w:cstheme="minorHAnsi"/>
          <w:sz w:val="20"/>
          <w:szCs w:val="24"/>
        </w:rPr>
        <w:t xml:space="preserve"> na úhradu CCP na pracovné miesta AOZ</w:t>
      </w:r>
      <w:r w:rsidRPr="00B963AA">
        <w:rPr>
          <w:rFonts w:asciiTheme="minorHAnsi" w:hAnsiTheme="minorHAnsi" w:cstheme="minorHAnsi"/>
          <w:sz w:val="20"/>
          <w:szCs w:val="24"/>
        </w:rPr>
        <w:t xml:space="preserve"> podľa podmienok stanovených v tomto dokumente, vo výške určen</w:t>
      </w:r>
      <w:r>
        <w:rPr>
          <w:rFonts w:asciiTheme="minorHAnsi" w:hAnsiTheme="minorHAnsi" w:cstheme="minorHAnsi"/>
          <w:sz w:val="20"/>
          <w:szCs w:val="24"/>
        </w:rPr>
        <w:t>ej</w:t>
      </w:r>
      <w:r w:rsidRPr="00B963AA">
        <w:rPr>
          <w:rFonts w:asciiTheme="minorHAnsi" w:hAnsiTheme="minorHAnsi" w:cstheme="minorHAnsi"/>
          <w:sz w:val="20"/>
          <w:szCs w:val="24"/>
        </w:rPr>
        <w:t xml:space="preserve"> jednotkov</w:t>
      </w:r>
      <w:r>
        <w:rPr>
          <w:rFonts w:asciiTheme="minorHAnsi" w:hAnsiTheme="minorHAnsi" w:cstheme="minorHAnsi"/>
          <w:sz w:val="20"/>
          <w:szCs w:val="24"/>
        </w:rPr>
        <w:t>ej</w:t>
      </w:r>
      <w:r w:rsidRPr="00B963AA">
        <w:rPr>
          <w:rFonts w:asciiTheme="minorHAnsi" w:hAnsiTheme="minorHAnsi" w:cstheme="minorHAnsi"/>
          <w:sz w:val="20"/>
          <w:szCs w:val="24"/>
        </w:rPr>
        <w:t xml:space="preserve"> </w:t>
      </w:r>
      <w:r>
        <w:rPr>
          <w:rFonts w:asciiTheme="minorHAnsi" w:hAnsiTheme="minorHAnsi" w:cstheme="minorHAnsi"/>
          <w:sz w:val="20"/>
          <w:szCs w:val="24"/>
        </w:rPr>
        <w:t>ceny</w:t>
      </w:r>
      <w:r w:rsidRPr="00B963AA">
        <w:rPr>
          <w:rFonts w:asciiTheme="minorHAnsi" w:hAnsiTheme="minorHAnsi" w:cstheme="minorHAnsi"/>
          <w:sz w:val="20"/>
          <w:szCs w:val="24"/>
        </w:rPr>
        <w:t>,</w:t>
      </w:r>
    </w:p>
    <w:p w14:paraId="6D09F26E" w14:textId="77777777" w:rsidR="00713338" w:rsidRPr="00B23CF4" w:rsidRDefault="00713338" w:rsidP="00713338">
      <w:pPr>
        <w:pStyle w:val="Odsekzoznamu"/>
        <w:numPr>
          <w:ilvl w:val="0"/>
          <w:numId w:val="9"/>
        </w:numPr>
        <w:autoSpaceDE w:val="0"/>
        <w:autoSpaceDN w:val="0"/>
        <w:adjustRightInd w:val="0"/>
        <w:spacing w:before="60" w:after="60"/>
        <w:ind w:left="567" w:hanging="283"/>
        <w:contextualSpacing w:val="0"/>
        <w:jc w:val="both"/>
        <w:rPr>
          <w:rFonts w:asciiTheme="minorHAnsi" w:hAnsiTheme="minorHAnsi" w:cs="Martel Sans"/>
          <w:sz w:val="20"/>
          <w:szCs w:val="20"/>
        </w:rPr>
      </w:pPr>
      <w:r>
        <w:rPr>
          <w:rFonts w:asciiTheme="minorHAnsi" w:hAnsiTheme="minorHAnsi" w:cs="Martel Sans"/>
          <w:sz w:val="20"/>
          <w:szCs w:val="20"/>
        </w:rPr>
        <w:t>AOZ</w:t>
      </w:r>
      <w:r w:rsidRPr="006C22FD">
        <w:rPr>
          <w:rFonts w:asciiTheme="minorHAnsi" w:hAnsiTheme="minorHAnsi" w:cs="Martel Sans"/>
          <w:sz w:val="20"/>
          <w:szCs w:val="20"/>
        </w:rPr>
        <w:t xml:space="preserve"> budú zamestnancami prijímateľa, pre </w:t>
      </w:r>
      <w:r w:rsidRPr="006C22FD">
        <w:rPr>
          <w:rFonts w:asciiTheme="minorHAnsi" w:hAnsiTheme="minorHAnsi" w:cs="Martel Sans"/>
          <w:sz w:val="20"/>
          <w:szCs w:val="20"/>
          <w:shd w:val="clear" w:color="auto" w:fill="FFFFFF" w:themeFill="background1"/>
        </w:rPr>
        <w:t xml:space="preserve">ktorých boli vytvorené pracovné miesta, a to v pracovnom pomere </w:t>
      </w:r>
      <w:r w:rsidRPr="005A495A">
        <w:rPr>
          <w:rFonts w:asciiTheme="minorHAnsi" w:hAnsiTheme="minorHAnsi" w:cstheme="minorHAnsi"/>
          <w:sz w:val="20"/>
          <w:szCs w:val="24"/>
        </w:rPr>
        <w:t>uzatvorenom</w:t>
      </w:r>
      <w:r w:rsidRPr="006C22FD">
        <w:rPr>
          <w:rFonts w:asciiTheme="minorHAnsi" w:hAnsiTheme="minorHAnsi" w:cs="Martel Sans"/>
          <w:sz w:val="20"/>
          <w:szCs w:val="20"/>
          <w:shd w:val="clear" w:color="auto" w:fill="FFFFFF" w:themeFill="background1"/>
        </w:rPr>
        <w:t xml:space="preserve"> na ustanovený týždenný pracovný čas v zmysle</w:t>
      </w:r>
      <w:r w:rsidRPr="006C22FD">
        <w:rPr>
          <w:rFonts w:asciiTheme="minorHAnsi" w:hAnsiTheme="minorHAnsi" w:cs="Martel Sans"/>
          <w:sz w:val="20"/>
          <w:szCs w:val="20"/>
        </w:rPr>
        <w:t xml:space="preserve"> Zákonníka práce</w:t>
      </w:r>
      <w:r>
        <w:rPr>
          <w:rStyle w:val="Odkaznapoznmkupodiarou"/>
          <w:rFonts w:asciiTheme="minorHAnsi" w:hAnsiTheme="minorHAnsi" w:cs="Martel Sans"/>
          <w:sz w:val="20"/>
          <w:szCs w:val="20"/>
        </w:rPr>
        <w:footnoteReference w:id="4"/>
      </w:r>
      <w:r w:rsidRPr="006C22FD">
        <w:rPr>
          <w:rFonts w:asciiTheme="minorHAnsi" w:hAnsiTheme="minorHAnsi" w:cs="Martel Sans"/>
          <w:sz w:val="20"/>
          <w:szCs w:val="20"/>
        </w:rPr>
        <w:t xml:space="preserve"> (resp.</w:t>
      </w:r>
      <w:r w:rsidRPr="006C22FD">
        <w:rPr>
          <w:rFonts w:asciiTheme="minorHAnsi" w:hAnsiTheme="minorHAnsi" w:cs="Martel Sans"/>
          <w:b/>
          <w:sz w:val="20"/>
          <w:szCs w:val="20"/>
        </w:rPr>
        <w:t xml:space="preserve"> </w:t>
      </w:r>
      <w:r w:rsidRPr="004B2E34">
        <w:rPr>
          <w:rFonts w:asciiTheme="minorHAnsi" w:hAnsiTheme="minorHAnsi" w:cs="Martel Sans"/>
          <w:sz w:val="20"/>
          <w:szCs w:val="20"/>
        </w:rPr>
        <w:t>kratší pracovný čas –</w:t>
      </w:r>
      <w:r w:rsidRPr="006C22FD">
        <w:rPr>
          <w:rFonts w:asciiTheme="minorHAnsi" w:hAnsiTheme="minorHAnsi" w:cs="Calibri"/>
          <w:sz w:val="20"/>
          <w:szCs w:val="20"/>
        </w:rPr>
        <w:t xml:space="preserve"> </w:t>
      </w:r>
      <w:r w:rsidRPr="006C22FD">
        <w:rPr>
          <w:rFonts w:asciiTheme="minorHAnsi" w:hAnsiTheme="minorHAnsi" w:cs="Martel Sans"/>
          <w:sz w:val="20"/>
          <w:szCs w:val="20"/>
        </w:rPr>
        <w:t xml:space="preserve">ide o ½ ustanoveného týždenného pracovného </w:t>
      </w:r>
      <w:r w:rsidRPr="00B23CF4">
        <w:rPr>
          <w:rFonts w:asciiTheme="minorHAnsi" w:hAnsiTheme="minorHAnsi" w:cs="Martel Sans"/>
          <w:sz w:val="20"/>
          <w:szCs w:val="20"/>
        </w:rPr>
        <w:t>času). Pracovný čas môže byť rozvrhnutý aj nerovnomerne,</w:t>
      </w:r>
    </w:p>
    <w:p w14:paraId="6D09F26F" w14:textId="77777777" w:rsidR="00713338" w:rsidRPr="00B963AA" w:rsidRDefault="00713338" w:rsidP="00713338">
      <w:pPr>
        <w:pStyle w:val="Odsekzoznamu"/>
        <w:numPr>
          <w:ilvl w:val="0"/>
          <w:numId w:val="9"/>
        </w:numPr>
        <w:autoSpaceDE w:val="0"/>
        <w:autoSpaceDN w:val="0"/>
        <w:adjustRightInd w:val="0"/>
        <w:spacing w:before="60" w:after="60"/>
        <w:ind w:left="567" w:hanging="283"/>
        <w:contextualSpacing w:val="0"/>
        <w:jc w:val="both"/>
        <w:rPr>
          <w:rFonts w:asciiTheme="minorHAnsi" w:hAnsiTheme="minorHAnsi" w:cstheme="minorHAnsi"/>
          <w:sz w:val="20"/>
          <w:szCs w:val="24"/>
        </w:rPr>
      </w:pPr>
      <w:r w:rsidRPr="00B963AA">
        <w:rPr>
          <w:rFonts w:asciiTheme="minorHAnsi" w:hAnsiTheme="minorHAnsi" w:cstheme="minorHAnsi"/>
          <w:sz w:val="20"/>
          <w:szCs w:val="24"/>
        </w:rPr>
        <w:lastRenderedPageBreak/>
        <w:t>práva a povinnosti neupravené v tomto dokumente sa riadia príslušnými právnymi normami EÚ a SR.</w:t>
      </w:r>
    </w:p>
    <w:p w14:paraId="6D09F270" w14:textId="77777777" w:rsidR="00713338" w:rsidRDefault="00713338" w:rsidP="00713338">
      <w:pPr>
        <w:pStyle w:val="Nadpis2"/>
      </w:pPr>
      <w:bookmarkStart w:id="9" w:name="_Toc484698435"/>
      <w:bookmarkStart w:id="10" w:name="_Toc484698534"/>
      <w:bookmarkStart w:id="11" w:name="_Toc484702500"/>
      <w:r w:rsidRPr="006D751F">
        <w:t>Postup pri stanovení jednotkovej ceny</w:t>
      </w:r>
      <w:bookmarkEnd w:id="9"/>
      <w:bookmarkEnd w:id="10"/>
      <w:bookmarkEnd w:id="11"/>
    </w:p>
    <w:p w14:paraId="6D09F271" w14:textId="77777777" w:rsidR="00713338" w:rsidRPr="00446ECF" w:rsidRDefault="00713338" w:rsidP="00713338">
      <w:pPr>
        <w:spacing w:before="60" w:afterLines="60" w:after="144"/>
        <w:jc w:val="both"/>
        <w:rPr>
          <w:rFonts w:asciiTheme="minorHAnsi" w:hAnsiTheme="minorHAnsi" w:cs="Martel Sans"/>
          <w:sz w:val="20"/>
          <w:szCs w:val="20"/>
        </w:rPr>
      </w:pPr>
      <w:r w:rsidRPr="00446ECF">
        <w:rPr>
          <w:rFonts w:asciiTheme="minorHAnsi" w:hAnsiTheme="minorHAnsi" w:cs="Martel Sans"/>
          <w:sz w:val="20"/>
          <w:szCs w:val="20"/>
        </w:rPr>
        <w:t>Celková výška oprávnených nákladov sa v prípade procesne orientovanej stupnice jednotkových nákladov rovná súčinu:</w:t>
      </w:r>
    </w:p>
    <w:p w14:paraId="6D09F272" w14:textId="77777777" w:rsidR="00713338" w:rsidRDefault="00713338" w:rsidP="00713338">
      <w:pPr>
        <w:pStyle w:val="Odsekzoznamu"/>
        <w:numPr>
          <w:ilvl w:val="0"/>
          <w:numId w:val="8"/>
        </w:numPr>
        <w:spacing w:before="60" w:after="60" w:line="240" w:lineRule="auto"/>
        <w:ind w:left="709" w:hanging="284"/>
        <w:contextualSpacing w:val="0"/>
        <w:jc w:val="both"/>
        <w:rPr>
          <w:rFonts w:asciiTheme="minorHAnsi" w:hAnsiTheme="minorHAnsi" w:cs="Martel Sans"/>
          <w:sz w:val="20"/>
          <w:szCs w:val="20"/>
        </w:rPr>
      </w:pPr>
      <w:r w:rsidRPr="00446ECF">
        <w:rPr>
          <w:rFonts w:asciiTheme="minorHAnsi" w:hAnsiTheme="minorHAnsi" w:cs="Martel Sans"/>
          <w:sz w:val="20"/>
          <w:szCs w:val="20"/>
        </w:rPr>
        <w:t xml:space="preserve">jednotkového nákladu na výkon činnosti </w:t>
      </w:r>
      <w:r>
        <w:rPr>
          <w:rFonts w:asciiTheme="minorHAnsi" w:hAnsiTheme="minorHAnsi" w:cs="Martel Sans"/>
          <w:sz w:val="20"/>
          <w:szCs w:val="20"/>
        </w:rPr>
        <w:t>AOZ</w:t>
      </w:r>
      <w:r w:rsidRPr="00446ECF">
        <w:rPr>
          <w:rFonts w:asciiTheme="minorHAnsi" w:hAnsiTheme="minorHAnsi" w:cs="Martel Sans"/>
          <w:sz w:val="20"/>
          <w:szCs w:val="20"/>
        </w:rPr>
        <w:t xml:space="preserve"> (jednotková cena)</w:t>
      </w:r>
      <w:r>
        <w:rPr>
          <w:rFonts w:asciiTheme="minorHAnsi" w:hAnsiTheme="minorHAnsi" w:cs="Martel Sans"/>
          <w:sz w:val="20"/>
          <w:szCs w:val="20"/>
        </w:rPr>
        <w:t>,</w:t>
      </w:r>
    </w:p>
    <w:p w14:paraId="6D09F273" w14:textId="77777777" w:rsidR="00713338" w:rsidRDefault="00713338" w:rsidP="00713338">
      <w:pPr>
        <w:pStyle w:val="Odsekzoznamu"/>
        <w:numPr>
          <w:ilvl w:val="0"/>
          <w:numId w:val="8"/>
        </w:numPr>
        <w:spacing w:before="60" w:after="60" w:line="240" w:lineRule="auto"/>
        <w:ind w:left="709" w:hanging="284"/>
        <w:contextualSpacing w:val="0"/>
        <w:jc w:val="both"/>
        <w:rPr>
          <w:rFonts w:asciiTheme="minorHAnsi" w:hAnsiTheme="minorHAnsi" w:cs="Martel Sans"/>
          <w:sz w:val="20"/>
          <w:szCs w:val="20"/>
        </w:rPr>
      </w:pPr>
      <w:r w:rsidRPr="00446ECF">
        <w:rPr>
          <w:rFonts w:asciiTheme="minorHAnsi" w:hAnsiTheme="minorHAnsi" w:cs="Martel Sans"/>
          <w:sz w:val="20"/>
          <w:szCs w:val="20"/>
        </w:rPr>
        <w:t>počtu jednotiek (</w:t>
      </w:r>
      <w:r>
        <w:rPr>
          <w:rFonts w:asciiTheme="minorHAnsi" w:hAnsiTheme="minorHAnsi" w:cs="Martel Sans"/>
          <w:sz w:val="20"/>
          <w:szCs w:val="20"/>
        </w:rPr>
        <w:t>AOZ</w:t>
      </w:r>
      <w:r w:rsidRPr="00446ECF">
        <w:rPr>
          <w:rFonts w:asciiTheme="minorHAnsi" w:hAnsiTheme="minorHAnsi" w:cs="Martel Sans"/>
          <w:sz w:val="20"/>
          <w:szCs w:val="20"/>
        </w:rPr>
        <w:t>)</w:t>
      </w:r>
      <w:r>
        <w:rPr>
          <w:rFonts w:asciiTheme="minorHAnsi" w:hAnsiTheme="minorHAnsi" w:cs="Martel Sans"/>
          <w:sz w:val="20"/>
          <w:szCs w:val="20"/>
        </w:rPr>
        <w:t>,</w:t>
      </w:r>
    </w:p>
    <w:p w14:paraId="6D09F274" w14:textId="77777777" w:rsidR="00713338" w:rsidRPr="000B29CB" w:rsidRDefault="00713338" w:rsidP="00713338">
      <w:pPr>
        <w:pStyle w:val="Odsekzoznamu"/>
        <w:numPr>
          <w:ilvl w:val="0"/>
          <w:numId w:val="8"/>
        </w:numPr>
        <w:spacing w:before="60" w:after="60" w:line="240" w:lineRule="auto"/>
        <w:ind w:left="709" w:hanging="284"/>
        <w:contextualSpacing w:val="0"/>
        <w:jc w:val="both"/>
        <w:rPr>
          <w:rFonts w:asciiTheme="minorHAnsi" w:hAnsiTheme="minorHAnsi" w:cs="Martel Sans"/>
          <w:sz w:val="20"/>
          <w:szCs w:val="20"/>
        </w:rPr>
      </w:pPr>
      <w:r w:rsidRPr="000B29CB">
        <w:rPr>
          <w:rFonts w:asciiTheme="minorHAnsi" w:hAnsiTheme="minorHAnsi" w:cs="Martel Sans"/>
          <w:sz w:val="20"/>
          <w:szCs w:val="20"/>
        </w:rPr>
        <w:t>mernej jednotky času (kalendárny mesiac).</w:t>
      </w:r>
    </w:p>
    <w:p w14:paraId="6D09F275" w14:textId="77777777" w:rsidR="00713338" w:rsidRPr="00446ECF" w:rsidRDefault="00713338" w:rsidP="00713338">
      <w:pPr>
        <w:spacing w:before="60" w:afterLines="60" w:after="144"/>
        <w:jc w:val="both"/>
        <w:rPr>
          <w:rFonts w:asciiTheme="minorHAnsi" w:hAnsiTheme="minorHAnsi" w:cs="Martel Sans"/>
          <w:sz w:val="20"/>
          <w:szCs w:val="20"/>
        </w:rPr>
      </w:pPr>
      <w:r w:rsidRPr="00446ECF">
        <w:rPr>
          <w:rFonts w:asciiTheme="minorHAnsi" w:hAnsiTheme="minorHAnsi" w:cs="Martel Sans"/>
          <w:sz w:val="20"/>
          <w:szCs w:val="20"/>
        </w:rPr>
        <w:t xml:space="preserve">Merná jednotka času (kalendárny mesiac) – pre výpočet výšky oprávnených nákladov bol za časovú jednotku stanovený jeden kalendárny mesiac </w:t>
      </w:r>
      <w:r>
        <w:rPr>
          <w:rFonts w:asciiTheme="minorHAnsi" w:hAnsiTheme="minorHAnsi" w:cs="Martel Sans"/>
          <w:sz w:val="20"/>
          <w:szCs w:val="20"/>
        </w:rPr>
        <w:t>výkonu</w:t>
      </w:r>
      <w:r w:rsidRPr="00446ECF">
        <w:rPr>
          <w:rFonts w:asciiTheme="minorHAnsi" w:hAnsiTheme="minorHAnsi" w:cs="Martel Sans"/>
          <w:sz w:val="20"/>
          <w:szCs w:val="20"/>
        </w:rPr>
        <w:t xml:space="preserve"> </w:t>
      </w:r>
      <w:r>
        <w:rPr>
          <w:rFonts w:asciiTheme="minorHAnsi" w:hAnsiTheme="minorHAnsi" w:cstheme="minorHAnsi"/>
          <w:sz w:val="20"/>
          <w:szCs w:val="24"/>
        </w:rPr>
        <w:t>zdravotnej mediácie v prostredí MRK na komunitnej úrovni.</w:t>
      </w:r>
    </w:p>
    <w:p w14:paraId="6D09F276" w14:textId="77777777" w:rsidR="00713338" w:rsidRPr="00446ECF" w:rsidRDefault="00713338" w:rsidP="00713338">
      <w:pPr>
        <w:spacing w:before="60" w:afterLines="60" w:after="144"/>
        <w:jc w:val="both"/>
        <w:rPr>
          <w:rFonts w:asciiTheme="minorHAnsi" w:hAnsiTheme="minorHAnsi" w:cs="Martel Sans"/>
          <w:sz w:val="20"/>
          <w:szCs w:val="20"/>
        </w:rPr>
      </w:pPr>
      <w:r w:rsidRPr="00446ECF">
        <w:rPr>
          <w:rFonts w:asciiTheme="minorHAnsi" w:hAnsiTheme="minorHAnsi" w:cs="Martel Sans"/>
          <w:sz w:val="20"/>
          <w:szCs w:val="20"/>
        </w:rPr>
        <w:t xml:space="preserve">Pracovné miesto – pre výpočet výšky oprávnených nákladov sa za pracovné miesto považuje pracovné miesto </w:t>
      </w:r>
      <w:r>
        <w:rPr>
          <w:rFonts w:asciiTheme="minorHAnsi" w:hAnsiTheme="minorHAnsi" w:cs="Martel Sans"/>
          <w:sz w:val="20"/>
          <w:szCs w:val="20"/>
        </w:rPr>
        <w:t>AOZ</w:t>
      </w:r>
      <w:r w:rsidRPr="00446ECF">
        <w:rPr>
          <w:rFonts w:asciiTheme="minorHAnsi" w:hAnsiTheme="minorHAnsi" w:cs="Martel Sans"/>
          <w:sz w:val="20"/>
          <w:szCs w:val="20"/>
        </w:rPr>
        <w:t xml:space="preserve"> so zodpovedajúcou náplňou práce a minimálnymi kvalifikačnými požiadavkami špecifikovanými </w:t>
      </w:r>
      <w:r w:rsidRPr="00617907">
        <w:rPr>
          <w:rFonts w:asciiTheme="minorHAnsi" w:hAnsiTheme="minorHAnsi" w:cs="Martel Sans"/>
          <w:sz w:val="20"/>
          <w:szCs w:val="20"/>
        </w:rPr>
        <w:t>v časti 3</w:t>
      </w:r>
      <w:r w:rsidRPr="00446ECF">
        <w:rPr>
          <w:rFonts w:asciiTheme="minorHAnsi" w:hAnsiTheme="minorHAnsi" w:cs="Martel Sans"/>
          <w:sz w:val="20"/>
          <w:szCs w:val="20"/>
        </w:rPr>
        <w:t>.</w:t>
      </w:r>
    </w:p>
    <w:p w14:paraId="6D09F277" w14:textId="77777777" w:rsidR="00713338" w:rsidRPr="00446ECF" w:rsidRDefault="00713338" w:rsidP="00713338">
      <w:pPr>
        <w:spacing w:before="60" w:afterLines="60" w:after="144"/>
        <w:jc w:val="both"/>
        <w:rPr>
          <w:rFonts w:asciiTheme="minorHAnsi" w:hAnsiTheme="minorHAnsi" w:cs="Martel Sans"/>
          <w:sz w:val="20"/>
          <w:szCs w:val="20"/>
        </w:rPr>
      </w:pPr>
      <w:r w:rsidRPr="00446ECF">
        <w:rPr>
          <w:rFonts w:asciiTheme="minorHAnsi" w:hAnsiTheme="minorHAnsi" w:cs="Martel Sans"/>
          <w:sz w:val="20"/>
          <w:szCs w:val="20"/>
        </w:rPr>
        <w:t xml:space="preserve">Jednotkový náklad na </w:t>
      </w:r>
      <w:r>
        <w:rPr>
          <w:rFonts w:asciiTheme="minorHAnsi" w:hAnsiTheme="minorHAnsi" w:cs="Martel Sans"/>
          <w:sz w:val="20"/>
          <w:szCs w:val="20"/>
        </w:rPr>
        <w:t xml:space="preserve">výkon </w:t>
      </w:r>
      <w:r w:rsidRPr="00446ECF">
        <w:rPr>
          <w:rFonts w:asciiTheme="minorHAnsi" w:hAnsiTheme="minorHAnsi" w:cs="Martel Sans"/>
          <w:sz w:val="20"/>
          <w:szCs w:val="20"/>
        </w:rPr>
        <w:t>činnos</w:t>
      </w:r>
      <w:r>
        <w:rPr>
          <w:rFonts w:asciiTheme="minorHAnsi" w:hAnsiTheme="minorHAnsi" w:cs="Martel Sans"/>
          <w:sz w:val="20"/>
          <w:szCs w:val="20"/>
        </w:rPr>
        <w:t>ti</w:t>
      </w:r>
      <w:r w:rsidRPr="00446ECF">
        <w:rPr>
          <w:rFonts w:asciiTheme="minorHAnsi" w:hAnsiTheme="minorHAnsi" w:cs="Martel Sans"/>
          <w:sz w:val="20"/>
          <w:szCs w:val="20"/>
        </w:rPr>
        <w:t xml:space="preserve"> </w:t>
      </w:r>
      <w:r>
        <w:rPr>
          <w:rFonts w:asciiTheme="minorHAnsi" w:hAnsiTheme="minorHAnsi" w:cs="Martel Sans"/>
          <w:sz w:val="20"/>
          <w:szCs w:val="20"/>
        </w:rPr>
        <w:t>AOZ</w:t>
      </w:r>
      <w:r w:rsidRPr="00446ECF">
        <w:rPr>
          <w:rFonts w:asciiTheme="minorHAnsi" w:hAnsiTheme="minorHAnsi" w:cs="Martel Sans"/>
          <w:sz w:val="20"/>
          <w:szCs w:val="20"/>
        </w:rPr>
        <w:t xml:space="preserve"> – pre výpočet výšky oprávnených nákladov sa za jednotkový náklad na výkon činnosti </w:t>
      </w:r>
      <w:r>
        <w:rPr>
          <w:rFonts w:asciiTheme="minorHAnsi" w:hAnsiTheme="minorHAnsi" w:cs="Martel Sans"/>
          <w:sz w:val="20"/>
          <w:szCs w:val="20"/>
        </w:rPr>
        <w:t>AOZ</w:t>
      </w:r>
      <w:r w:rsidRPr="00446ECF">
        <w:rPr>
          <w:rFonts w:asciiTheme="minorHAnsi" w:hAnsiTheme="minorHAnsi" w:cs="Martel Sans"/>
          <w:sz w:val="20"/>
          <w:szCs w:val="20"/>
        </w:rPr>
        <w:t xml:space="preserve"> považuje jednotková cena za </w:t>
      </w:r>
      <w:r>
        <w:rPr>
          <w:rFonts w:asciiTheme="minorHAnsi" w:hAnsiTheme="minorHAnsi" w:cs="Martel Sans"/>
          <w:sz w:val="20"/>
          <w:szCs w:val="20"/>
        </w:rPr>
        <w:t>výkon</w:t>
      </w:r>
      <w:r w:rsidRPr="00446ECF">
        <w:rPr>
          <w:rFonts w:asciiTheme="minorHAnsi" w:hAnsiTheme="minorHAnsi" w:cs="Martel Sans"/>
          <w:sz w:val="20"/>
          <w:szCs w:val="20"/>
        </w:rPr>
        <w:t xml:space="preserve"> </w:t>
      </w:r>
      <w:r>
        <w:rPr>
          <w:rFonts w:asciiTheme="minorHAnsi" w:hAnsiTheme="minorHAnsi" w:cstheme="minorHAnsi"/>
          <w:sz w:val="20"/>
          <w:szCs w:val="24"/>
        </w:rPr>
        <w:t>zdravotnej mediácie v prostredí MRK na komunitnej úrovni</w:t>
      </w:r>
      <w:r w:rsidRPr="00446ECF">
        <w:rPr>
          <w:rFonts w:asciiTheme="minorHAnsi" w:hAnsiTheme="minorHAnsi" w:cs="Martel Sans"/>
          <w:sz w:val="20"/>
          <w:szCs w:val="20"/>
        </w:rPr>
        <w:t xml:space="preserve"> </w:t>
      </w:r>
      <w:r>
        <w:rPr>
          <w:rFonts w:asciiTheme="minorHAnsi" w:hAnsiTheme="minorHAnsi" w:cs="Martel Sans"/>
          <w:sz w:val="20"/>
          <w:szCs w:val="20"/>
        </w:rPr>
        <w:t>AOZ</w:t>
      </w:r>
      <w:r w:rsidRPr="00446ECF">
        <w:rPr>
          <w:rFonts w:asciiTheme="minorHAnsi" w:hAnsiTheme="minorHAnsi" w:cs="Martel Sans"/>
          <w:sz w:val="20"/>
          <w:szCs w:val="20"/>
        </w:rPr>
        <w:t xml:space="preserve"> v kalendárnom mesiaci</w:t>
      </w:r>
      <w:r>
        <w:rPr>
          <w:rFonts w:asciiTheme="minorHAnsi" w:hAnsiTheme="minorHAnsi" w:cs="Martel Sans"/>
          <w:sz w:val="20"/>
          <w:szCs w:val="20"/>
        </w:rPr>
        <w:t>.</w:t>
      </w:r>
    </w:p>
    <w:p w14:paraId="6D09F278" w14:textId="77777777" w:rsidR="00713338" w:rsidRDefault="00713338" w:rsidP="00713338">
      <w:pPr>
        <w:spacing w:before="60" w:afterLines="60" w:after="144"/>
        <w:jc w:val="both"/>
        <w:rPr>
          <w:rFonts w:asciiTheme="minorHAnsi" w:hAnsiTheme="minorHAnsi" w:cs="Martel Sans"/>
          <w:sz w:val="20"/>
          <w:szCs w:val="20"/>
        </w:rPr>
      </w:pPr>
      <w:r w:rsidRPr="00446ECF">
        <w:rPr>
          <w:rFonts w:asciiTheme="minorHAnsi" w:hAnsiTheme="minorHAnsi" w:cs="Martel Sans"/>
          <w:sz w:val="20"/>
          <w:szCs w:val="20"/>
        </w:rPr>
        <w:t>Jednotková cena bude prepočítaná každoročne k 1. januáru príslušného roka na základe indexu nominálnej mzdy v hospodárstve SR zverejneného Štatistickým úradom SR za prvý až druhý štvrťrok kalendárneho roka, ktorý predchádza príslušnému roku.</w:t>
      </w:r>
    </w:p>
    <w:p w14:paraId="6D09F279" w14:textId="77777777" w:rsidR="00713338" w:rsidRDefault="00713338" w:rsidP="00713338">
      <w:pPr>
        <w:spacing w:before="60" w:afterLines="60" w:after="144"/>
        <w:jc w:val="both"/>
        <w:rPr>
          <w:rFonts w:asciiTheme="minorHAnsi" w:hAnsiTheme="minorHAnsi" w:cs="Martel Sans"/>
          <w:sz w:val="20"/>
          <w:szCs w:val="20"/>
          <w:u w:val="single"/>
        </w:rPr>
      </w:pPr>
      <w:r w:rsidRPr="00446ECF">
        <w:rPr>
          <w:rFonts w:asciiTheme="minorHAnsi" w:hAnsiTheme="minorHAnsi" w:cs="Martel Sans"/>
          <w:sz w:val="20"/>
          <w:szCs w:val="20"/>
          <w:u w:val="single"/>
        </w:rPr>
        <w:t>Určená hrubá mzda</w:t>
      </w:r>
      <w:r>
        <w:rPr>
          <w:rFonts w:asciiTheme="minorHAnsi" w:hAnsiTheme="minorHAnsi" w:cs="Martel Sans"/>
          <w:sz w:val="20"/>
          <w:szCs w:val="20"/>
          <w:u w:val="single"/>
        </w:rPr>
        <w:t>:</w:t>
      </w:r>
    </w:p>
    <w:p w14:paraId="6D09F27A" w14:textId="77777777" w:rsidR="00713338" w:rsidRDefault="00713338" w:rsidP="00713338">
      <w:pPr>
        <w:spacing w:before="60" w:afterLines="60" w:after="144"/>
        <w:jc w:val="both"/>
        <w:rPr>
          <w:rFonts w:asciiTheme="minorHAnsi" w:hAnsiTheme="minorHAnsi" w:cs="Martel Sans"/>
          <w:sz w:val="20"/>
          <w:szCs w:val="20"/>
        </w:rPr>
      </w:pPr>
      <w:r w:rsidRPr="00446ECF">
        <w:rPr>
          <w:rFonts w:asciiTheme="minorHAnsi" w:hAnsiTheme="minorHAnsi" w:cs="Martel Sans"/>
          <w:sz w:val="20"/>
          <w:szCs w:val="20"/>
        </w:rPr>
        <w:t xml:space="preserve">Pri výpočte spravodlivej odmeny AOZ sa vychádzalo z kvalifikačných predpokladov a pracovnej náplne AOZ. Ako zdroj pre výpočet spravodlivej odmeny boli použité analytické výstupy z miezd za druhý polrok 2015 z projektu NP ZK pre pozíciu </w:t>
      </w:r>
      <w:r>
        <w:rPr>
          <w:rFonts w:asciiTheme="minorHAnsi" w:hAnsiTheme="minorHAnsi" w:cs="Martel Sans"/>
          <w:sz w:val="20"/>
          <w:szCs w:val="20"/>
        </w:rPr>
        <w:t>AOZ</w:t>
      </w:r>
      <w:r w:rsidRPr="00446ECF">
        <w:rPr>
          <w:rFonts w:asciiTheme="minorHAnsi" w:hAnsiTheme="minorHAnsi" w:cs="Martel Sans"/>
          <w:sz w:val="20"/>
          <w:szCs w:val="20"/>
        </w:rPr>
        <w:t>.</w:t>
      </w:r>
    </w:p>
    <w:p w14:paraId="6D09F27B" w14:textId="77777777" w:rsidR="00713338" w:rsidRPr="00F87658" w:rsidRDefault="00713338" w:rsidP="00713338">
      <w:pPr>
        <w:spacing w:after="0" w:line="240" w:lineRule="auto"/>
        <w:ind w:left="709" w:hanging="709"/>
        <w:contextualSpacing/>
        <w:rPr>
          <w:rFonts w:asciiTheme="minorHAnsi" w:hAnsiTheme="minorHAnsi" w:cs="Martel Sans"/>
          <w:sz w:val="20"/>
          <w:szCs w:val="20"/>
        </w:rPr>
      </w:pPr>
      <w:r w:rsidRPr="00F87658">
        <w:rPr>
          <w:rFonts w:asciiTheme="minorHAnsi" w:hAnsiTheme="minorHAnsi" w:cs="Martel Sans"/>
          <w:sz w:val="20"/>
          <w:szCs w:val="20"/>
        </w:rPr>
        <w:t>Tab. 1 Priemerná mesačná hrubá mzda AOZ za druhý polrok 2015</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6"/>
        <w:gridCol w:w="992"/>
        <w:gridCol w:w="1134"/>
        <w:gridCol w:w="1248"/>
        <w:gridCol w:w="1137"/>
        <w:gridCol w:w="1134"/>
        <w:gridCol w:w="1086"/>
        <w:gridCol w:w="1130"/>
      </w:tblGrid>
      <w:tr w:rsidR="00713338" w:rsidRPr="00446ECF" w14:paraId="6D09F284" w14:textId="77777777" w:rsidTr="00713338">
        <w:trPr>
          <w:trHeight w:val="300"/>
          <w:jc w:val="center"/>
        </w:trPr>
        <w:tc>
          <w:tcPr>
            <w:tcW w:w="1206" w:type="dxa"/>
            <w:shd w:val="clear" w:color="auto" w:fill="FECB90"/>
            <w:noWrap/>
            <w:vAlign w:val="center"/>
            <w:hideMark/>
          </w:tcPr>
          <w:p w14:paraId="6D09F27C" w14:textId="77777777" w:rsidR="00713338" w:rsidRPr="00B45254" w:rsidRDefault="00713338" w:rsidP="00363523">
            <w:pPr>
              <w:spacing w:after="0" w:line="240" w:lineRule="auto"/>
              <w:jc w:val="center"/>
              <w:rPr>
                <w:rFonts w:asciiTheme="minorHAnsi" w:eastAsia="Times New Roman" w:hAnsiTheme="minorHAnsi" w:cs="Martel Sans"/>
                <w:bCs/>
                <w:sz w:val="20"/>
                <w:szCs w:val="20"/>
                <w:lang w:eastAsia="sk-SK"/>
              </w:rPr>
            </w:pPr>
            <w:r w:rsidRPr="00B45254">
              <w:rPr>
                <w:rFonts w:asciiTheme="minorHAnsi" w:eastAsia="Times New Roman" w:hAnsiTheme="minorHAnsi" w:cs="Martel Sans"/>
                <w:bCs/>
                <w:sz w:val="20"/>
                <w:szCs w:val="20"/>
                <w:lang w:eastAsia="sk-SK"/>
              </w:rPr>
              <w:t>AOZ/mesiac</w:t>
            </w:r>
          </w:p>
        </w:tc>
        <w:tc>
          <w:tcPr>
            <w:tcW w:w="992" w:type="dxa"/>
            <w:shd w:val="clear" w:color="auto" w:fill="FECB90"/>
            <w:vAlign w:val="center"/>
          </w:tcPr>
          <w:p w14:paraId="6D09F27D" w14:textId="77777777" w:rsidR="00713338" w:rsidRPr="00B45254" w:rsidRDefault="00713338" w:rsidP="00363523">
            <w:pPr>
              <w:spacing w:after="0" w:line="240" w:lineRule="auto"/>
              <w:jc w:val="center"/>
              <w:rPr>
                <w:rFonts w:asciiTheme="minorHAnsi" w:eastAsia="Times New Roman" w:hAnsiTheme="minorHAnsi" w:cs="Martel Sans"/>
                <w:bCs/>
                <w:sz w:val="20"/>
                <w:szCs w:val="20"/>
                <w:lang w:eastAsia="sk-SK"/>
              </w:rPr>
            </w:pPr>
            <w:r w:rsidRPr="00B45254">
              <w:rPr>
                <w:rFonts w:asciiTheme="minorHAnsi" w:eastAsia="Times New Roman" w:hAnsiTheme="minorHAnsi" w:cs="Martel Sans"/>
                <w:bCs/>
                <w:sz w:val="20"/>
                <w:szCs w:val="20"/>
                <w:lang w:eastAsia="sk-SK"/>
              </w:rPr>
              <w:t>07/2015</w:t>
            </w:r>
          </w:p>
        </w:tc>
        <w:tc>
          <w:tcPr>
            <w:tcW w:w="1134" w:type="dxa"/>
            <w:shd w:val="clear" w:color="auto" w:fill="FECB90"/>
            <w:vAlign w:val="center"/>
          </w:tcPr>
          <w:p w14:paraId="6D09F27E" w14:textId="77777777" w:rsidR="00713338" w:rsidRPr="00B45254" w:rsidRDefault="00713338" w:rsidP="00363523">
            <w:pPr>
              <w:spacing w:after="0" w:line="240" w:lineRule="auto"/>
              <w:jc w:val="center"/>
              <w:rPr>
                <w:rFonts w:asciiTheme="minorHAnsi" w:eastAsia="Times New Roman" w:hAnsiTheme="minorHAnsi" w:cs="Martel Sans"/>
                <w:bCs/>
                <w:sz w:val="20"/>
                <w:szCs w:val="20"/>
                <w:lang w:eastAsia="sk-SK"/>
              </w:rPr>
            </w:pPr>
            <w:r w:rsidRPr="00B45254">
              <w:rPr>
                <w:rFonts w:asciiTheme="minorHAnsi" w:eastAsia="Times New Roman" w:hAnsiTheme="minorHAnsi" w:cs="Martel Sans"/>
                <w:bCs/>
                <w:sz w:val="20"/>
                <w:szCs w:val="20"/>
                <w:lang w:eastAsia="sk-SK"/>
              </w:rPr>
              <w:t>08/2015</w:t>
            </w:r>
          </w:p>
        </w:tc>
        <w:tc>
          <w:tcPr>
            <w:tcW w:w="1248" w:type="dxa"/>
            <w:shd w:val="clear" w:color="auto" w:fill="FECB90"/>
            <w:vAlign w:val="center"/>
          </w:tcPr>
          <w:p w14:paraId="6D09F27F" w14:textId="77777777" w:rsidR="00713338" w:rsidRPr="00B45254" w:rsidRDefault="00713338" w:rsidP="00363523">
            <w:pPr>
              <w:spacing w:after="0" w:line="240" w:lineRule="auto"/>
              <w:jc w:val="center"/>
              <w:rPr>
                <w:rFonts w:asciiTheme="minorHAnsi" w:eastAsia="Times New Roman" w:hAnsiTheme="minorHAnsi" w:cs="Martel Sans"/>
                <w:bCs/>
                <w:sz w:val="20"/>
                <w:szCs w:val="20"/>
                <w:lang w:eastAsia="sk-SK"/>
              </w:rPr>
            </w:pPr>
            <w:r w:rsidRPr="00B45254">
              <w:rPr>
                <w:rFonts w:asciiTheme="minorHAnsi" w:eastAsia="Times New Roman" w:hAnsiTheme="minorHAnsi" w:cs="Martel Sans"/>
                <w:bCs/>
                <w:sz w:val="20"/>
                <w:szCs w:val="20"/>
                <w:lang w:eastAsia="sk-SK"/>
              </w:rPr>
              <w:t>09/2015</w:t>
            </w:r>
          </w:p>
        </w:tc>
        <w:tc>
          <w:tcPr>
            <w:tcW w:w="1137" w:type="dxa"/>
            <w:shd w:val="clear" w:color="auto" w:fill="FECB90"/>
            <w:noWrap/>
            <w:vAlign w:val="center"/>
            <w:hideMark/>
          </w:tcPr>
          <w:p w14:paraId="6D09F280" w14:textId="77777777" w:rsidR="00713338" w:rsidRPr="00B45254" w:rsidRDefault="00713338" w:rsidP="00363523">
            <w:pPr>
              <w:spacing w:after="0" w:line="240" w:lineRule="auto"/>
              <w:jc w:val="center"/>
              <w:rPr>
                <w:rFonts w:asciiTheme="minorHAnsi" w:eastAsia="Times New Roman" w:hAnsiTheme="minorHAnsi" w:cs="Martel Sans"/>
                <w:bCs/>
                <w:sz w:val="20"/>
                <w:szCs w:val="20"/>
                <w:lang w:eastAsia="sk-SK"/>
              </w:rPr>
            </w:pPr>
            <w:r w:rsidRPr="00B45254">
              <w:rPr>
                <w:rFonts w:asciiTheme="minorHAnsi" w:eastAsia="Times New Roman" w:hAnsiTheme="minorHAnsi" w:cs="Martel Sans"/>
                <w:bCs/>
                <w:sz w:val="20"/>
                <w:szCs w:val="20"/>
                <w:lang w:eastAsia="sk-SK"/>
              </w:rPr>
              <w:t>10/2015</w:t>
            </w:r>
          </w:p>
        </w:tc>
        <w:tc>
          <w:tcPr>
            <w:tcW w:w="1134" w:type="dxa"/>
            <w:shd w:val="clear" w:color="auto" w:fill="FECB90"/>
            <w:noWrap/>
            <w:vAlign w:val="center"/>
            <w:hideMark/>
          </w:tcPr>
          <w:p w14:paraId="6D09F281" w14:textId="77777777" w:rsidR="00713338" w:rsidRPr="00B45254" w:rsidRDefault="00713338" w:rsidP="00363523">
            <w:pPr>
              <w:spacing w:after="0" w:line="240" w:lineRule="auto"/>
              <w:jc w:val="center"/>
              <w:rPr>
                <w:rFonts w:asciiTheme="minorHAnsi" w:eastAsia="Times New Roman" w:hAnsiTheme="minorHAnsi" w:cs="Martel Sans"/>
                <w:bCs/>
                <w:sz w:val="20"/>
                <w:szCs w:val="20"/>
                <w:lang w:eastAsia="sk-SK"/>
              </w:rPr>
            </w:pPr>
            <w:r w:rsidRPr="00B45254">
              <w:rPr>
                <w:rFonts w:asciiTheme="minorHAnsi" w:eastAsia="Times New Roman" w:hAnsiTheme="minorHAnsi" w:cs="Martel Sans"/>
                <w:bCs/>
                <w:sz w:val="20"/>
                <w:szCs w:val="20"/>
                <w:lang w:eastAsia="sk-SK"/>
              </w:rPr>
              <w:t>11/2015</w:t>
            </w:r>
          </w:p>
        </w:tc>
        <w:tc>
          <w:tcPr>
            <w:tcW w:w="1086" w:type="dxa"/>
            <w:shd w:val="clear" w:color="auto" w:fill="FECB90"/>
            <w:noWrap/>
            <w:vAlign w:val="center"/>
            <w:hideMark/>
          </w:tcPr>
          <w:p w14:paraId="6D09F282" w14:textId="77777777" w:rsidR="00713338" w:rsidRPr="00B45254" w:rsidRDefault="00713338" w:rsidP="00363523">
            <w:pPr>
              <w:spacing w:after="0" w:line="240" w:lineRule="auto"/>
              <w:jc w:val="center"/>
              <w:rPr>
                <w:rFonts w:asciiTheme="minorHAnsi" w:eastAsia="Times New Roman" w:hAnsiTheme="minorHAnsi" w:cs="Martel Sans"/>
                <w:bCs/>
                <w:sz w:val="20"/>
                <w:szCs w:val="20"/>
                <w:lang w:eastAsia="sk-SK"/>
              </w:rPr>
            </w:pPr>
            <w:r w:rsidRPr="00B45254">
              <w:rPr>
                <w:rFonts w:asciiTheme="minorHAnsi" w:eastAsia="Times New Roman" w:hAnsiTheme="minorHAnsi" w:cs="Martel Sans"/>
                <w:bCs/>
                <w:sz w:val="20"/>
                <w:szCs w:val="20"/>
                <w:lang w:eastAsia="sk-SK"/>
              </w:rPr>
              <w:t>12/2015</w:t>
            </w:r>
          </w:p>
        </w:tc>
        <w:tc>
          <w:tcPr>
            <w:tcW w:w="1130" w:type="dxa"/>
            <w:shd w:val="clear" w:color="auto" w:fill="FECB90"/>
            <w:noWrap/>
            <w:vAlign w:val="center"/>
            <w:hideMark/>
          </w:tcPr>
          <w:p w14:paraId="6D09F283" w14:textId="77777777" w:rsidR="00713338" w:rsidRPr="00B45254" w:rsidRDefault="00713338" w:rsidP="00363523">
            <w:pPr>
              <w:spacing w:after="0" w:line="240" w:lineRule="auto"/>
              <w:jc w:val="center"/>
              <w:rPr>
                <w:rFonts w:asciiTheme="minorHAnsi" w:eastAsia="Times New Roman" w:hAnsiTheme="minorHAnsi" w:cs="Martel Sans"/>
                <w:bCs/>
                <w:sz w:val="20"/>
                <w:szCs w:val="20"/>
                <w:lang w:eastAsia="sk-SK"/>
              </w:rPr>
            </w:pPr>
            <w:r w:rsidRPr="00B45254">
              <w:rPr>
                <w:rFonts w:asciiTheme="minorHAnsi" w:eastAsia="Times New Roman" w:hAnsiTheme="minorHAnsi" w:cs="Martel Sans"/>
                <w:bCs/>
                <w:sz w:val="20"/>
                <w:szCs w:val="20"/>
                <w:lang w:eastAsia="sk-SK"/>
              </w:rPr>
              <w:t>Medián</w:t>
            </w:r>
          </w:p>
        </w:tc>
      </w:tr>
      <w:tr w:rsidR="00713338" w:rsidRPr="00446ECF" w14:paraId="6D09F28D" w14:textId="77777777" w:rsidTr="00713338">
        <w:trPr>
          <w:trHeight w:val="300"/>
          <w:jc w:val="center"/>
        </w:trPr>
        <w:tc>
          <w:tcPr>
            <w:tcW w:w="1206" w:type="dxa"/>
            <w:noWrap/>
            <w:vAlign w:val="center"/>
            <w:hideMark/>
          </w:tcPr>
          <w:p w14:paraId="6D09F285" w14:textId="77777777" w:rsidR="00713338" w:rsidRPr="00446ECF" w:rsidRDefault="00713338" w:rsidP="00363523">
            <w:pPr>
              <w:spacing w:after="0" w:line="240" w:lineRule="auto"/>
              <w:jc w:val="center"/>
              <w:rPr>
                <w:rFonts w:asciiTheme="minorHAnsi" w:eastAsia="Times New Roman" w:hAnsiTheme="minorHAnsi" w:cs="Martel Sans"/>
                <w:sz w:val="20"/>
                <w:szCs w:val="20"/>
                <w:lang w:eastAsia="sk-SK"/>
              </w:rPr>
            </w:pPr>
            <w:r w:rsidRPr="00446ECF">
              <w:rPr>
                <w:rFonts w:asciiTheme="minorHAnsi" w:eastAsia="Times New Roman" w:hAnsiTheme="minorHAnsi" w:cs="Martel Sans"/>
                <w:sz w:val="20"/>
                <w:szCs w:val="20"/>
                <w:lang w:eastAsia="sk-SK"/>
              </w:rPr>
              <w:t>AOZ</w:t>
            </w:r>
          </w:p>
        </w:tc>
        <w:tc>
          <w:tcPr>
            <w:tcW w:w="992" w:type="dxa"/>
            <w:vAlign w:val="center"/>
          </w:tcPr>
          <w:p w14:paraId="6D09F286" w14:textId="77777777" w:rsidR="00713338" w:rsidRPr="00446ECF" w:rsidRDefault="00713338" w:rsidP="00363523">
            <w:pPr>
              <w:spacing w:after="0" w:line="240" w:lineRule="auto"/>
              <w:jc w:val="center"/>
              <w:rPr>
                <w:rFonts w:asciiTheme="minorHAnsi" w:eastAsia="Times New Roman" w:hAnsiTheme="minorHAnsi" w:cs="Martel Sans"/>
                <w:sz w:val="20"/>
                <w:szCs w:val="20"/>
                <w:lang w:eastAsia="sk-SK"/>
              </w:rPr>
            </w:pPr>
            <w:r w:rsidRPr="00446ECF">
              <w:rPr>
                <w:rFonts w:asciiTheme="minorHAnsi" w:eastAsia="Times New Roman" w:hAnsiTheme="minorHAnsi" w:cs="Martel Sans"/>
                <w:sz w:val="20"/>
                <w:szCs w:val="20"/>
                <w:lang w:eastAsia="sk-SK"/>
              </w:rPr>
              <w:t>440,00 €</w:t>
            </w:r>
          </w:p>
        </w:tc>
        <w:tc>
          <w:tcPr>
            <w:tcW w:w="1134" w:type="dxa"/>
            <w:vAlign w:val="center"/>
          </w:tcPr>
          <w:p w14:paraId="6D09F287" w14:textId="77777777" w:rsidR="00713338" w:rsidRPr="00446ECF" w:rsidRDefault="00713338" w:rsidP="00363523">
            <w:pPr>
              <w:spacing w:after="0" w:line="240" w:lineRule="auto"/>
              <w:jc w:val="center"/>
              <w:rPr>
                <w:rFonts w:asciiTheme="minorHAnsi" w:eastAsia="Times New Roman" w:hAnsiTheme="minorHAnsi" w:cs="Martel Sans"/>
                <w:sz w:val="20"/>
                <w:szCs w:val="20"/>
                <w:lang w:eastAsia="sk-SK"/>
              </w:rPr>
            </w:pPr>
            <w:r w:rsidRPr="00446ECF">
              <w:rPr>
                <w:rFonts w:asciiTheme="minorHAnsi" w:eastAsia="Times New Roman" w:hAnsiTheme="minorHAnsi" w:cs="Martel Sans"/>
                <w:sz w:val="20"/>
                <w:szCs w:val="20"/>
                <w:lang w:eastAsia="sk-SK"/>
              </w:rPr>
              <w:t>438, 75 €</w:t>
            </w:r>
          </w:p>
        </w:tc>
        <w:tc>
          <w:tcPr>
            <w:tcW w:w="1248" w:type="dxa"/>
            <w:vAlign w:val="center"/>
          </w:tcPr>
          <w:p w14:paraId="6D09F288" w14:textId="77777777" w:rsidR="00713338" w:rsidRPr="00446ECF" w:rsidRDefault="00713338" w:rsidP="00363523">
            <w:pPr>
              <w:spacing w:after="0" w:line="240" w:lineRule="auto"/>
              <w:jc w:val="center"/>
              <w:rPr>
                <w:rFonts w:asciiTheme="minorHAnsi" w:eastAsia="Times New Roman" w:hAnsiTheme="minorHAnsi" w:cs="Martel Sans"/>
                <w:sz w:val="20"/>
                <w:szCs w:val="20"/>
                <w:lang w:eastAsia="sk-SK"/>
              </w:rPr>
            </w:pPr>
            <w:r w:rsidRPr="00446ECF">
              <w:rPr>
                <w:rFonts w:asciiTheme="minorHAnsi" w:eastAsia="Times New Roman" w:hAnsiTheme="minorHAnsi" w:cs="Martel Sans"/>
                <w:sz w:val="20"/>
                <w:szCs w:val="20"/>
                <w:lang w:eastAsia="sk-SK"/>
              </w:rPr>
              <w:t>440,00 €</w:t>
            </w:r>
          </w:p>
        </w:tc>
        <w:tc>
          <w:tcPr>
            <w:tcW w:w="1137" w:type="dxa"/>
            <w:noWrap/>
            <w:vAlign w:val="center"/>
            <w:hideMark/>
          </w:tcPr>
          <w:p w14:paraId="6D09F289" w14:textId="77777777" w:rsidR="00713338" w:rsidRPr="00446ECF" w:rsidRDefault="00713338" w:rsidP="00363523">
            <w:pPr>
              <w:spacing w:after="0" w:line="240" w:lineRule="auto"/>
              <w:jc w:val="center"/>
              <w:rPr>
                <w:rFonts w:asciiTheme="minorHAnsi" w:eastAsia="Times New Roman" w:hAnsiTheme="minorHAnsi" w:cs="Martel Sans"/>
                <w:sz w:val="20"/>
                <w:szCs w:val="20"/>
                <w:lang w:eastAsia="sk-SK"/>
              </w:rPr>
            </w:pPr>
            <w:r w:rsidRPr="00446ECF">
              <w:rPr>
                <w:rFonts w:asciiTheme="minorHAnsi" w:eastAsia="Times New Roman" w:hAnsiTheme="minorHAnsi" w:cs="Martel Sans"/>
                <w:sz w:val="20"/>
                <w:szCs w:val="20"/>
                <w:lang w:eastAsia="sk-SK"/>
              </w:rPr>
              <w:t>440,00 €</w:t>
            </w:r>
          </w:p>
        </w:tc>
        <w:tc>
          <w:tcPr>
            <w:tcW w:w="1134" w:type="dxa"/>
            <w:noWrap/>
            <w:vAlign w:val="center"/>
            <w:hideMark/>
          </w:tcPr>
          <w:p w14:paraId="6D09F28A" w14:textId="77777777" w:rsidR="00713338" w:rsidRPr="00446ECF" w:rsidRDefault="00713338" w:rsidP="00363523">
            <w:pPr>
              <w:spacing w:after="0" w:line="240" w:lineRule="auto"/>
              <w:jc w:val="center"/>
              <w:rPr>
                <w:rFonts w:asciiTheme="minorHAnsi" w:eastAsia="Times New Roman" w:hAnsiTheme="minorHAnsi" w:cs="Martel Sans"/>
                <w:sz w:val="20"/>
                <w:szCs w:val="20"/>
                <w:lang w:eastAsia="sk-SK"/>
              </w:rPr>
            </w:pPr>
            <w:r w:rsidRPr="00446ECF">
              <w:rPr>
                <w:rFonts w:asciiTheme="minorHAnsi" w:eastAsia="Times New Roman" w:hAnsiTheme="minorHAnsi" w:cs="Martel Sans"/>
                <w:sz w:val="20"/>
                <w:szCs w:val="20"/>
                <w:lang w:eastAsia="sk-SK"/>
              </w:rPr>
              <w:t>437,05 €</w:t>
            </w:r>
          </w:p>
        </w:tc>
        <w:tc>
          <w:tcPr>
            <w:tcW w:w="1086" w:type="dxa"/>
            <w:noWrap/>
            <w:vAlign w:val="center"/>
            <w:hideMark/>
          </w:tcPr>
          <w:p w14:paraId="6D09F28B" w14:textId="77777777" w:rsidR="00713338" w:rsidRPr="00446ECF" w:rsidRDefault="00713338" w:rsidP="00363523">
            <w:pPr>
              <w:spacing w:after="0" w:line="240" w:lineRule="auto"/>
              <w:jc w:val="center"/>
              <w:rPr>
                <w:rFonts w:asciiTheme="minorHAnsi" w:eastAsia="Times New Roman" w:hAnsiTheme="minorHAnsi" w:cs="Martel Sans"/>
                <w:sz w:val="20"/>
                <w:szCs w:val="20"/>
                <w:lang w:eastAsia="sk-SK"/>
              </w:rPr>
            </w:pPr>
            <w:r w:rsidRPr="00446ECF">
              <w:rPr>
                <w:rFonts w:asciiTheme="minorHAnsi" w:eastAsia="Times New Roman" w:hAnsiTheme="minorHAnsi" w:cs="Martel Sans"/>
                <w:sz w:val="20"/>
                <w:szCs w:val="20"/>
                <w:lang w:eastAsia="sk-SK"/>
              </w:rPr>
              <w:t>446,46 €</w:t>
            </w:r>
          </w:p>
        </w:tc>
        <w:tc>
          <w:tcPr>
            <w:tcW w:w="1130" w:type="dxa"/>
            <w:noWrap/>
            <w:vAlign w:val="center"/>
            <w:hideMark/>
          </w:tcPr>
          <w:p w14:paraId="6D09F28C" w14:textId="77777777" w:rsidR="00713338" w:rsidRPr="00446ECF" w:rsidRDefault="00713338" w:rsidP="00363523">
            <w:pPr>
              <w:spacing w:after="0" w:line="240" w:lineRule="auto"/>
              <w:jc w:val="center"/>
              <w:rPr>
                <w:rFonts w:asciiTheme="minorHAnsi" w:eastAsia="Times New Roman" w:hAnsiTheme="minorHAnsi" w:cs="Martel Sans"/>
                <w:b/>
                <w:sz w:val="20"/>
                <w:szCs w:val="20"/>
                <w:lang w:eastAsia="sk-SK"/>
              </w:rPr>
            </w:pPr>
            <w:r w:rsidRPr="00446ECF">
              <w:rPr>
                <w:rFonts w:asciiTheme="minorHAnsi" w:eastAsia="Times New Roman" w:hAnsiTheme="minorHAnsi" w:cs="Martel Sans"/>
                <w:b/>
                <w:sz w:val="20"/>
                <w:szCs w:val="20"/>
                <w:lang w:eastAsia="sk-SK"/>
              </w:rPr>
              <w:t>440,00 €</w:t>
            </w:r>
          </w:p>
        </w:tc>
      </w:tr>
    </w:tbl>
    <w:p w14:paraId="6D09F28E" w14:textId="77777777" w:rsidR="00713338" w:rsidRDefault="00713338" w:rsidP="00713338">
      <w:pPr>
        <w:spacing w:after="120" w:line="240" w:lineRule="auto"/>
        <w:jc w:val="both"/>
        <w:rPr>
          <w:rFonts w:asciiTheme="minorHAnsi" w:eastAsia="Times New Roman" w:hAnsiTheme="minorHAnsi" w:cs="Martel Sans"/>
          <w:bCs/>
          <w:sz w:val="18"/>
          <w:szCs w:val="18"/>
          <w:lang w:eastAsia="sk-SK"/>
        </w:rPr>
      </w:pPr>
      <w:r w:rsidRPr="00446ECF">
        <w:rPr>
          <w:rFonts w:asciiTheme="minorHAnsi" w:hAnsiTheme="minorHAnsi" w:cs="Martel Sans"/>
          <w:sz w:val="18"/>
          <w:szCs w:val="18"/>
        </w:rPr>
        <w:t xml:space="preserve">Zdroj: Analytické výstupy z miezd za druhý polrok 2015 z projektu NP ZK pre pozíciu </w:t>
      </w:r>
      <w:r>
        <w:rPr>
          <w:rFonts w:asciiTheme="minorHAnsi" w:hAnsiTheme="minorHAnsi" w:cs="Martel Sans"/>
          <w:sz w:val="18"/>
          <w:szCs w:val="18"/>
        </w:rPr>
        <w:t>AOZ</w:t>
      </w:r>
    </w:p>
    <w:p w14:paraId="6D09F28F" w14:textId="77777777" w:rsidR="00713338" w:rsidRDefault="00713338" w:rsidP="00713338">
      <w:pPr>
        <w:spacing w:before="60" w:afterLines="60" w:after="144"/>
        <w:rPr>
          <w:rFonts w:asciiTheme="minorHAnsi" w:hAnsiTheme="minorHAnsi" w:cs="Martel Sans"/>
          <w:sz w:val="20"/>
          <w:szCs w:val="20"/>
          <w:u w:val="single"/>
        </w:rPr>
      </w:pPr>
      <w:r>
        <w:rPr>
          <w:rFonts w:asciiTheme="minorHAnsi" w:hAnsiTheme="minorHAnsi" w:cs="Martel Sans"/>
          <w:sz w:val="20"/>
          <w:szCs w:val="20"/>
          <w:u w:val="single"/>
        </w:rPr>
        <w:t>Odvody zamestnávateľa:</w:t>
      </w:r>
    </w:p>
    <w:p w14:paraId="6D09F290" w14:textId="77777777" w:rsidR="00713338" w:rsidRDefault="00713338" w:rsidP="00713338">
      <w:pPr>
        <w:jc w:val="both"/>
        <w:rPr>
          <w:rFonts w:asciiTheme="minorHAnsi" w:hAnsiTheme="minorHAnsi" w:cs="Martel Sans"/>
          <w:sz w:val="20"/>
          <w:szCs w:val="20"/>
        </w:rPr>
      </w:pPr>
      <w:r w:rsidRPr="00446ECF">
        <w:rPr>
          <w:rFonts w:asciiTheme="minorHAnsi" w:hAnsiTheme="minorHAnsi" w:cs="Martel Sans"/>
          <w:sz w:val="20"/>
          <w:szCs w:val="20"/>
        </w:rPr>
        <w:t>Odvodové zaťaženie zamestnávateľa je vypočítané v súlade s aktuálne platnými právnymi predpismi – zákonom č. 461/2003 Z.z. o sociálnom poistení v znení neskorších predpisov a zákonom č. 580/2004 Z.z o zdravotnom poistení a o zmene a doplnení zákona č. 95/2002 Z.z. o poisťovníctve a o zmene a doplnení niektorých zákonov v znení neskorších predpisov. Jednotlivé hodnoty predstavujú percentuálnu časť z celkovej ceny práce AOZ. Do výpočtu vstupuje aj odvodová odpočítateľná položka</w:t>
      </w:r>
      <w:r>
        <w:rPr>
          <w:rStyle w:val="Odkaznapoznmkupodiarou"/>
          <w:rFonts w:asciiTheme="minorHAnsi" w:hAnsiTheme="minorHAnsi" w:cs="Martel Sans"/>
          <w:sz w:val="20"/>
          <w:szCs w:val="20"/>
        </w:rPr>
        <w:footnoteReference w:id="5"/>
      </w:r>
      <w:r w:rsidRPr="00446ECF">
        <w:rPr>
          <w:rFonts w:asciiTheme="minorHAnsi" w:hAnsiTheme="minorHAnsi" w:cs="Martel Sans"/>
          <w:sz w:val="20"/>
          <w:szCs w:val="20"/>
        </w:rPr>
        <w:t>, na základe ktorej sa pri hrubej mesačnej mzde nižšej ako 570 € mení výška vymeriavacieho základu pre výpočet zdravotného poistenia o odpočítateľnú položku, ktorá v prípade mzdy vyššej ako 380 €, ale nižšej ako 570 € je vypočítaná ako: 380 € – 2 x (mesačný príjem zamestnanca – 380 €).</w:t>
      </w:r>
    </w:p>
    <w:p w14:paraId="6D09F291" w14:textId="77777777" w:rsidR="00713338" w:rsidRDefault="00713338" w:rsidP="00713338">
      <w:pPr>
        <w:rPr>
          <w:rFonts w:asciiTheme="minorHAnsi" w:hAnsiTheme="minorHAnsi" w:cs="Martel Sans"/>
          <w:sz w:val="20"/>
          <w:szCs w:val="20"/>
        </w:rPr>
      </w:pPr>
    </w:p>
    <w:p w14:paraId="6D09F292" w14:textId="77777777" w:rsidR="00713338" w:rsidRDefault="00713338" w:rsidP="00713338">
      <w:pPr>
        <w:rPr>
          <w:rFonts w:asciiTheme="minorHAnsi" w:hAnsiTheme="minorHAnsi" w:cs="Martel Sans"/>
          <w:sz w:val="20"/>
          <w:szCs w:val="20"/>
        </w:rPr>
      </w:pPr>
    </w:p>
    <w:p w14:paraId="6D09F293" w14:textId="77777777" w:rsidR="00713338" w:rsidRDefault="00713338" w:rsidP="00713338">
      <w:pPr>
        <w:rPr>
          <w:rFonts w:asciiTheme="minorHAnsi" w:hAnsiTheme="minorHAnsi" w:cs="Martel Sans"/>
          <w:sz w:val="20"/>
          <w:szCs w:val="20"/>
        </w:rPr>
      </w:pPr>
    </w:p>
    <w:p w14:paraId="6D09F294" w14:textId="77777777" w:rsidR="00713338" w:rsidRDefault="00713338" w:rsidP="00713338">
      <w:pPr>
        <w:spacing w:after="0" w:line="240" w:lineRule="auto"/>
        <w:ind w:firstLine="708"/>
        <w:contextualSpacing/>
        <w:jc w:val="both"/>
        <w:rPr>
          <w:rFonts w:asciiTheme="minorHAnsi" w:hAnsiTheme="minorHAnsi" w:cs="Martel Sans"/>
          <w:sz w:val="20"/>
          <w:szCs w:val="20"/>
        </w:rPr>
      </w:pPr>
    </w:p>
    <w:p w14:paraId="6D09F295" w14:textId="77777777" w:rsidR="00713338" w:rsidRPr="00081A6C" w:rsidRDefault="00713338" w:rsidP="00713338">
      <w:pPr>
        <w:spacing w:after="0" w:line="240" w:lineRule="auto"/>
        <w:contextualSpacing/>
        <w:jc w:val="both"/>
        <w:rPr>
          <w:rFonts w:asciiTheme="minorHAnsi" w:hAnsiTheme="minorHAnsi" w:cs="Martel Sans"/>
          <w:sz w:val="20"/>
          <w:szCs w:val="20"/>
        </w:rPr>
      </w:pPr>
      <w:r w:rsidRPr="00081A6C">
        <w:rPr>
          <w:rFonts w:asciiTheme="minorHAnsi" w:hAnsiTheme="minorHAnsi" w:cs="Martel Sans"/>
          <w:sz w:val="20"/>
          <w:szCs w:val="20"/>
        </w:rPr>
        <w:lastRenderedPageBreak/>
        <w:t>Tab. 2 Odvodové zaťaženie zamestnávateľa</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1"/>
        <w:gridCol w:w="5456"/>
      </w:tblGrid>
      <w:tr w:rsidR="00713338" w:rsidRPr="00446ECF" w14:paraId="6D09F298" w14:textId="77777777" w:rsidTr="00713338">
        <w:trPr>
          <w:jc w:val="center"/>
        </w:trPr>
        <w:tc>
          <w:tcPr>
            <w:tcW w:w="3611" w:type="dxa"/>
            <w:shd w:val="clear" w:color="auto" w:fill="FECB90"/>
            <w:vAlign w:val="center"/>
          </w:tcPr>
          <w:p w14:paraId="6D09F296" w14:textId="77777777" w:rsidR="00713338" w:rsidRPr="00EA7618" w:rsidRDefault="00713338" w:rsidP="00363523">
            <w:pPr>
              <w:spacing w:after="0" w:line="240" w:lineRule="auto"/>
              <w:contextualSpacing/>
              <w:jc w:val="center"/>
              <w:rPr>
                <w:rFonts w:asciiTheme="minorHAnsi" w:hAnsiTheme="minorHAnsi" w:cs="Martel Sans"/>
                <w:b/>
                <w:sz w:val="20"/>
                <w:szCs w:val="20"/>
              </w:rPr>
            </w:pPr>
            <w:r w:rsidRPr="00EA7618">
              <w:rPr>
                <w:rFonts w:asciiTheme="minorHAnsi" w:hAnsiTheme="minorHAnsi" w:cs="Martel Sans"/>
                <w:b/>
                <w:sz w:val="20"/>
                <w:szCs w:val="20"/>
              </w:rPr>
              <w:t>Názov položky</w:t>
            </w:r>
          </w:p>
        </w:tc>
        <w:tc>
          <w:tcPr>
            <w:tcW w:w="5456" w:type="dxa"/>
            <w:shd w:val="clear" w:color="auto" w:fill="FECB90"/>
            <w:vAlign w:val="center"/>
          </w:tcPr>
          <w:p w14:paraId="6D09F297" w14:textId="77777777" w:rsidR="00713338" w:rsidRPr="00EA7618" w:rsidRDefault="00713338" w:rsidP="00363523">
            <w:pPr>
              <w:spacing w:after="0" w:line="240" w:lineRule="auto"/>
              <w:contextualSpacing/>
              <w:jc w:val="center"/>
              <w:rPr>
                <w:rFonts w:asciiTheme="minorHAnsi" w:hAnsiTheme="minorHAnsi" w:cs="Martel Sans"/>
                <w:b/>
                <w:sz w:val="20"/>
                <w:szCs w:val="20"/>
              </w:rPr>
            </w:pPr>
            <w:r w:rsidRPr="00EA7618">
              <w:rPr>
                <w:rFonts w:asciiTheme="minorHAnsi" w:hAnsiTheme="minorHAnsi" w:cs="Martel Sans"/>
                <w:b/>
                <w:sz w:val="20"/>
                <w:szCs w:val="20"/>
              </w:rPr>
              <w:t>Odvodové zaťaženie zamestnávateľa</w:t>
            </w:r>
          </w:p>
        </w:tc>
      </w:tr>
      <w:tr w:rsidR="00713338" w:rsidRPr="00446ECF" w14:paraId="6D09F29B" w14:textId="77777777" w:rsidTr="00713338">
        <w:trPr>
          <w:jc w:val="center"/>
        </w:trPr>
        <w:tc>
          <w:tcPr>
            <w:tcW w:w="3611" w:type="dxa"/>
            <w:vAlign w:val="center"/>
          </w:tcPr>
          <w:p w14:paraId="6D09F299" w14:textId="77777777" w:rsidR="00713338" w:rsidRPr="00446ECF" w:rsidRDefault="00713338" w:rsidP="00363523">
            <w:pPr>
              <w:spacing w:after="0" w:line="240" w:lineRule="auto"/>
              <w:contextualSpacing/>
              <w:jc w:val="both"/>
              <w:rPr>
                <w:rFonts w:asciiTheme="minorHAnsi" w:hAnsiTheme="minorHAnsi" w:cs="Martel Sans"/>
                <w:sz w:val="20"/>
                <w:szCs w:val="20"/>
              </w:rPr>
            </w:pPr>
            <w:r w:rsidRPr="00446ECF">
              <w:rPr>
                <w:rFonts w:asciiTheme="minorHAnsi" w:hAnsiTheme="minorHAnsi" w:cs="Martel Sans"/>
                <w:sz w:val="20"/>
                <w:szCs w:val="20"/>
              </w:rPr>
              <w:t>Nemocenské poistenie</w:t>
            </w:r>
          </w:p>
        </w:tc>
        <w:tc>
          <w:tcPr>
            <w:tcW w:w="5456" w:type="dxa"/>
            <w:vAlign w:val="center"/>
          </w:tcPr>
          <w:p w14:paraId="6D09F29A" w14:textId="77777777" w:rsidR="00713338" w:rsidRPr="00446ECF" w:rsidRDefault="00713338" w:rsidP="00363523">
            <w:pPr>
              <w:spacing w:after="0" w:line="240" w:lineRule="auto"/>
              <w:contextualSpacing/>
              <w:jc w:val="center"/>
              <w:rPr>
                <w:rFonts w:asciiTheme="minorHAnsi" w:hAnsiTheme="minorHAnsi" w:cs="Martel Sans"/>
                <w:sz w:val="20"/>
                <w:szCs w:val="20"/>
              </w:rPr>
            </w:pPr>
            <w:r w:rsidRPr="00446ECF">
              <w:rPr>
                <w:rFonts w:asciiTheme="minorHAnsi" w:hAnsiTheme="minorHAnsi" w:cs="Martel Sans"/>
                <w:sz w:val="20"/>
                <w:szCs w:val="20"/>
              </w:rPr>
              <w:t>1.4 %</w:t>
            </w:r>
          </w:p>
        </w:tc>
      </w:tr>
      <w:tr w:rsidR="00713338" w:rsidRPr="00446ECF" w14:paraId="6D09F29E" w14:textId="77777777" w:rsidTr="00713338">
        <w:trPr>
          <w:trHeight w:val="137"/>
          <w:jc w:val="center"/>
        </w:trPr>
        <w:tc>
          <w:tcPr>
            <w:tcW w:w="3611" w:type="dxa"/>
            <w:vAlign w:val="center"/>
          </w:tcPr>
          <w:p w14:paraId="6D09F29C" w14:textId="77777777" w:rsidR="00713338" w:rsidRPr="00446ECF" w:rsidRDefault="00713338" w:rsidP="00363523">
            <w:pPr>
              <w:spacing w:after="0" w:line="240" w:lineRule="auto"/>
              <w:contextualSpacing/>
              <w:jc w:val="both"/>
              <w:rPr>
                <w:rFonts w:asciiTheme="minorHAnsi" w:hAnsiTheme="minorHAnsi" w:cs="Martel Sans"/>
                <w:sz w:val="20"/>
                <w:szCs w:val="20"/>
              </w:rPr>
            </w:pPr>
            <w:r w:rsidRPr="00446ECF">
              <w:rPr>
                <w:rFonts w:asciiTheme="minorHAnsi" w:hAnsiTheme="minorHAnsi" w:cs="Martel Sans"/>
                <w:sz w:val="20"/>
                <w:szCs w:val="20"/>
              </w:rPr>
              <w:t>Starobné a dôchodkové poistenie</w:t>
            </w:r>
          </w:p>
        </w:tc>
        <w:tc>
          <w:tcPr>
            <w:tcW w:w="5456" w:type="dxa"/>
            <w:vAlign w:val="center"/>
          </w:tcPr>
          <w:p w14:paraId="6D09F29D" w14:textId="77777777" w:rsidR="00713338" w:rsidRPr="00446ECF" w:rsidRDefault="00713338" w:rsidP="00363523">
            <w:pPr>
              <w:spacing w:after="0" w:line="240" w:lineRule="auto"/>
              <w:contextualSpacing/>
              <w:jc w:val="center"/>
              <w:rPr>
                <w:rFonts w:asciiTheme="minorHAnsi" w:hAnsiTheme="minorHAnsi" w:cs="Martel Sans"/>
                <w:sz w:val="20"/>
                <w:szCs w:val="20"/>
              </w:rPr>
            </w:pPr>
            <w:r w:rsidRPr="00446ECF">
              <w:rPr>
                <w:rFonts w:asciiTheme="minorHAnsi" w:hAnsiTheme="minorHAnsi" w:cs="Martel Sans"/>
                <w:sz w:val="20"/>
                <w:szCs w:val="20"/>
              </w:rPr>
              <w:t>14 %</w:t>
            </w:r>
          </w:p>
        </w:tc>
      </w:tr>
      <w:tr w:rsidR="00713338" w:rsidRPr="00446ECF" w14:paraId="6D09F2A1" w14:textId="77777777" w:rsidTr="00713338">
        <w:trPr>
          <w:jc w:val="center"/>
        </w:trPr>
        <w:tc>
          <w:tcPr>
            <w:tcW w:w="3611" w:type="dxa"/>
            <w:vAlign w:val="center"/>
          </w:tcPr>
          <w:p w14:paraId="6D09F29F" w14:textId="77777777" w:rsidR="00713338" w:rsidRPr="00446ECF" w:rsidRDefault="00713338" w:rsidP="00363523">
            <w:pPr>
              <w:spacing w:after="0" w:line="240" w:lineRule="auto"/>
              <w:contextualSpacing/>
              <w:jc w:val="both"/>
              <w:rPr>
                <w:rFonts w:asciiTheme="minorHAnsi" w:hAnsiTheme="minorHAnsi" w:cs="Martel Sans"/>
                <w:sz w:val="20"/>
                <w:szCs w:val="20"/>
              </w:rPr>
            </w:pPr>
            <w:r w:rsidRPr="00446ECF">
              <w:rPr>
                <w:rFonts w:asciiTheme="minorHAnsi" w:hAnsiTheme="minorHAnsi" w:cs="Martel Sans"/>
                <w:sz w:val="20"/>
                <w:szCs w:val="20"/>
              </w:rPr>
              <w:t>Invalidné poistenie</w:t>
            </w:r>
          </w:p>
        </w:tc>
        <w:tc>
          <w:tcPr>
            <w:tcW w:w="5456" w:type="dxa"/>
            <w:vAlign w:val="center"/>
          </w:tcPr>
          <w:p w14:paraId="6D09F2A0" w14:textId="77777777" w:rsidR="00713338" w:rsidRPr="00446ECF" w:rsidRDefault="00713338" w:rsidP="00363523">
            <w:pPr>
              <w:spacing w:after="0" w:line="240" w:lineRule="auto"/>
              <w:contextualSpacing/>
              <w:jc w:val="center"/>
              <w:rPr>
                <w:rFonts w:asciiTheme="minorHAnsi" w:hAnsiTheme="minorHAnsi" w:cs="Martel Sans"/>
                <w:sz w:val="20"/>
                <w:szCs w:val="20"/>
              </w:rPr>
            </w:pPr>
            <w:r w:rsidRPr="00446ECF">
              <w:rPr>
                <w:rFonts w:asciiTheme="minorHAnsi" w:hAnsiTheme="minorHAnsi" w:cs="Martel Sans"/>
                <w:sz w:val="20"/>
                <w:szCs w:val="20"/>
              </w:rPr>
              <w:t>3 %</w:t>
            </w:r>
          </w:p>
        </w:tc>
      </w:tr>
      <w:tr w:rsidR="00713338" w:rsidRPr="00446ECF" w14:paraId="6D09F2A4" w14:textId="77777777" w:rsidTr="00713338">
        <w:trPr>
          <w:jc w:val="center"/>
        </w:trPr>
        <w:tc>
          <w:tcPr>
            <w:tcW w:w="3611" w:type="dxa"/>
            <w:vAlign w:val="center"/>
          </w:tcPr>
          <w:p w14:paraId="6D09F2A2" w14:textId="77777777" w:rsidR="00713338" w:rsidRPr="00446ECF" w:rsidRDefault="00713338" w:rsidP="00363523">
            <w:pPr>
              <w:spacing w:after="0" w:line="240" w:lineRule="auto"/>
              <w:contextualSpacing/>
              <w:jc w:val="both"/>
              <w:rPr>
                <w:rFonts w:asciiTheme="minorHAnsi" w:hAnsiTheme="minorHAnsi" w:cs="Martel Sans"/>
                <w:sz w:val="20"/>
                <w:szCs w:val="20"/>
              </w:rPr>
            </w:pPr>
            <w:r w:rsidRPr="00446ECF">
              <w:rPr>
                <w:rFonts w:asciiTheme="minorHAnsi" w:hAnsiTheme="minorHAnsi" w:cs="Martel Sans"/>
                <w:sz w:val="20"/>
                <w:szCs w:val="20"/>
              </w:rPr>
              <w:t>Poistenie v nezamestnanosti</w:t>
            </w:r>
          </w:p>
        </w:tc>
        <w:tc>
          <w:tcPr>
            <w:tcW w:w="5456" w:type="dxa"/>
            <w:vAlign w:val="center"/>
          </w:tcPr>
          <w:p w14:paraId="6D09F2A3" w14:textId="77777777" w:rsidR="00713338" w:rsidRPr="00446ECF" w:rsidRDefault="00713338" w:rsidP="00363523">
            <w:pPr>
              <w:spacing w:after="0" w:line="240" w:lineRule="auto"/>
              <w:contextualSpacing/>
              <w:jc w:val="center"/>
              <w:rPr>
                <w:rFonts w:asciiTheme="minorHAnsi" w:hAnsiTheme="minorHAnsi" w:cs="Martel Sans"/>
                <w:sz w:val="20"/>
                <w:szCs w:val="20"/>
              </w:rPr>
            </w:pPr>
            <w:r w:rsidRPr="00446ECF">
              <w:rPr>
                <w:rFonts w:asciiTheme="minorHAnsi" w:hAnsiTheme="minorHAnsi" w:cs="Martel Sans"/>
                <w:sz w:val="20"/>
                <w:szCs w:val="20"/>
              </w:rPr>
              <w:t>1 %</w:t>
            </w:r>
          </w:p>
        </w:tc>
      </w:tr>
      <w:tr w:rsidR="00713338" w:rsidRPr="00446ECF" w14:paraId="6D09F2A7" w14:textId="77777777" w:rsidTr="00713338">
        <w:trPr>
          <w:jc w:val="center"/>
        </w:trPr>
        <w:tc>
          <w:tcPr>
            <w:tcW w:w="3611" w:type="dxa"/>
            <w:vAlign w:val="center"/>
          </w:tcPr>
          <w:p w14:paraId="6D09F2A5" w14:textId="77777777" w:rsidR="00713338" w:rsidRPr="00446ECF" w:rsidRDefault="00713338" w:rsidP="00363523">
            <w:pPr>
              <w:spacing w:after="0" w:line="240" w:lineRule="auto"/>
              <w:contextualSpacing/>
              <w:jc w:val="both"/>
              <w:rPr>
                <w:rFonts w:asciiTheme="minorHAnsi" w:hAnsiTheme="minorHAnsi" w:cs="Martel Sans"/>
                <w:sz w:val="20"/>
                <w:szCs w:val="20"/>
              </w:rPr>
            </w:pPr>
            <w:r w:rsidRPr="00446ECF">
              <w:rPr>
                <w:rFonts w:asciiTheme="minorHAnsi" w:hAnsiTheme="minorHAnsi" w:cs="Martel Sans"/>
                <w:sz w:val="20"/>
                <w:szCs w:val="20"/>
              </w:rPr>
              <w:t>Úrazové poistenie</w:t>
            </w:r>
          </w:p>
        </w:tc>
        <w:tc>
          <w:tcPr>
            <w:tcW w:w="5456" w:type="dxa"/>
            <w:vAlign w:val="center"/>
          </w:tcPr>
          <w:p w14:paraId="6D09F2A6" w14:textId="77777777" w:rsidR="00713338" w:rsidRPr="00446ECF" w:rsidRDefault="00713338" w:rsidP="00363523">
            <w:pPr>
              <w:spacing w:after="0" w:line="240" w:lineRule="auto"/>
              <w:contextualSpacing/>
              <w:jc w:val="center"/>
              <w:rPr>
                <w:rFonts w:asciiTheme="minorHAnsi" w:hAnsiTheme="minorHAnsi" w:cs="Martel Sans"/>
                <w:sz w:val="20"/>
                <w:szCs w:val="20"/>
              </w:rPr>
            </w:pPr>
            <w:r w:rsidRPr="00446ECF">
              <w:rPr>
                <w:rFonts w:asciiTheme="minorHAnsi" w:hAnsiTheme="minorHAnsi" w:cs="Martel Sans"/>
                <w:sz w:val="20"/>
                <w:szCs w:val="20"/>
              </w:rPr>
              <w:t>0,8 %</w:t>
            </w:r>
          </w:p>
        </w:tc>
      </w:tr>
      <w:tr w:rsidR="00713338" w:rsidRPr="00446ECF" w14:paraId="6D09F2AA" w14:textId="77777777" w:rsidTr="00713338">
        <w:trPr>
          <w:jc w:val="center"/>
        </w:trPr>
        <w:tc>
          <w:tcPr>
            <w:tcW w:w="3611" w:type="dxa"/>
            <w:vAlign w:val="center"/>
          </w:tcPr>
          <w:p w14:paraId="6D09F2A8" w14:textId="77777777" w:rsidR="00713338" w:rsidRPr="00446ECF" w:rsidRDefault="00713338" w:rsidP="00363523">
            <w:pPr>
              <w:spacing w:after="0" w:line="240" w:lineRule="auto"/>
              <w:contextualSpacing/>
              <w:jc w:val="both"/>
              <w:rPr>
                <w:rFonts w:asciiTheme="minorHAnsi" w:hAnsiTheme="minorHAnsi" w:cs="Martel Sans"/>
                <w:sz w:val="20"/>
                <w:szCs w:val="20"/>
              </w:rPr>
            </w:pPr>
            <w:r w:rsidRPr="00446ECF">
              <w:rPr>
                <w:rFonts w:asciiTheme="minorHAnsi" w:hAnsiTheme="minorHAnsi" w:cs="Martel Sans"/>
                <w:sz w:val="20"/>
                <w:szCs w:val="20"/>
              </w:rPr>
              <w:t>Rezervný fond solidarity</w:t>
            </w:r>
          </w:p>
        </w:tc>
        <w:tc>
          <w:tcPr>
            <w:tcW w:w="5456" w:type="dxa"/>
            <w:vAlign w:val="center"/>
          </w:tcPr>
          <w:p w14:paraId="6D09F2A9" w14:textId="77777777" w:rsidR="00713338" w:rsidRPr="00446ECF" w:rsidRDefault="00713338" w:rsidP="00363523">
            <w:pPr>
              <w:spacing w:after="0" w:line="240" w:lineRule="auto"/>
              <w:contextualSpacing/>
              <w:jc w:val="center"/>
              <w:rPr>
                <w:rFonts w:asciiTheme="minorHAnsi" w:hAnsiTheme="minorHAnsi" w:cs="Martel Sans"/>
                <w:sz w:val="20"/>
                <w:szCs w:val="20"/>
              </w:rPr>
            </w:pPr>
            <w:r w:rsidRPr="00446ECF">
              <w:rPr>
                <w:rFonts w:asciiTheme="minorHAnsi" w:hAnsiTheme="minorHAnsi" w:cs="Martel Sans"/>
                <w:sz w:val="20"/>
                <w:szCs w:val="20"/>
              </w:rPr>
              <w:t>4,75 %</w:t>
            </w:r>
          </w:p>
        </w:tc>
      </w:tr>
      <w:tr w:rsidR="00713338" w:rsidRPr="00446ECF" w14:paraId="6D09F2AD" w14:textId="77777777" w:rsidTr="00713338">
        <w:trPr>
          <w:jc w:val="center"/>
        </w:trPr>
        <w:tc>
          <w:tcPr>
            <w:tcW w:w="3611" w:type="dxa"/>
            <w:vAlign w:val="center"/>
          </w:tcPr>
          <w:p w14:paraId="6D09F2AB" w14:textId="77777777" w:rsidR="00713338" w:rsidRPr="00446ECF" w:rsidRDefault="00713338" w:rsidP="00363523">
            <w:pPr>
              <w:spacing w:after="0" w:line="240" w:lineRule="auto"/>
              <w:contextualSpacing/>
              <w:jc w:val="both"/>
              <w:rPr>
                <w:rFonts w:asciiTheme="minorHAnsi" w:hAnsiTheme="minorHAnsi" w:cs="Martel Sans"/>
                <w:sz w:val="20"/>
                <w:szCs w:val="20"/>
              </w:rPr>
            </w:pPr>
            <w:r w:rsidRPr="00446ECF">
              <w:rPr>
                <w:rFonts w:asciiTheme="minorHAnsi" w:hAnsiTheme="minorHAnsi" w:cs="Martel Sans"/>
                <w:sz w:val="20"/>
                <w:szCs w:val="20"/>
              </w:rPr>
              <w:t>Zdravotné poistenie</w:t>
            </w:r>
          </w:p>
        </w:tc>
        <w:tc>
          <w:tcPr>
            <w:tcW w:w="5456" w:type="dxa"/>
            <w:vAlign w:val="center"/>
          </w:tcPr>
          <w:p w14:paraId="6D09F2AC" w14:textId="77777777" w:rsidR="00713338" w:rsidRPr="00446ECF" w:rsidRDefault="00713338" w:rsidP="00363523">
            <w:pPr>
              <w:spacing w:after="0" w:line="240" w:lineRule="auto"/>
              <w:contextualSpacing/>
              <w:jc w:val="center"/>
              <w:rPr>
                <w:rFonts w:asciiTheme="minorHAnsi" w:hAnsiTheme="minorHAnsi" w:cs="Martel Sans"/>
                <w:sz w:val="20"/>
                <w:szCs w:val="20"/>
              </w:rPr>
            </w:pPr>
            <w:r w:rsidRPr="00446ECF">
              <w:rPr>
                <w:rFonts w:asciiTheme="minorHAnsi" w:hAnsiTheme="minorHAnsi" w:cs="Martel Sans"/>
                <w:sz w:val="20"/>
                <w:szCs w:val="20"/>
              </w:rPr>
              <w:t>10% (z upraveného vymeriavacieho základu)</w:t>
            </w:r>
          </w:p>
        </w:tc>
      </w:tr>
    </w:tbl>
    <w:p w14:paraId="6D09F2AE" w14:textId="77777777" w:rsidR="00713338" w:rsidRPr="00446ECF" w:rsidRDefault="00713338" w:rsidP="00713338">
      <w:pPr>
        <w:spacing w:after="120" w:line="240" w:lineRule="auto"/>
        <w:jc w:val="both"/>
        <w:rPr>
          <w:rFonts w:asciiTheme="minorHAnsi" w:eastAsia="Times New Roman" w:hAnsiTheme="minorHAnsi" w:cs="Martel Sans"/>
          <w:bCs/>
          <w:sz w:val="18"/>
          <w:szCs w:val="18"/>
          <w:lang w:eastAsia="sk-SK"/>
        </w:rPr>
      </w:pPr>
      <w:r w:rsidRPr="00446ECF">
        <w:rPr>
          <w:rFonts w:asciiTheme="minorHAnsi" w:hAnsiTheme="minorHAnsi" w:cs="Martel Sans"/>
          <w:sz w:val="18"/>
          <w:szCs w:val="18"/>
        </w:rPr>
        <w:t xml:space="preserve">Zdroj: </w:t>
      </w:r>
      <w:r>
        <w:rPr>
          <w:rFonts w:asciiTheme="minorHAnsi" w:hAnsiTheme="minorHAnsi" w:cs="Martel Sans"/>
          <w:sz w:val="18"/>
          <w:szCs w:val="18"/>
        </w:rPr>
        <w:t>Vlastné spracovanie</w:t>
      </w:r>
    </w:p>
    <w:p w14:paraId="6D09F2AF" w14:textId="36CD2259" w:rsidR="00713338" w:rsidRDefault="00713338" w:rsidP="00713338">
      <w:pPr>
        <w:jc w:val="both"/>
        <w:rPr>
          <w:rFonts w:asciiTheme="minorHAnsi" w:hAnsiTheme="minorHAnsi" w:cs="Martel Sans"/>
          <w:sz w:val="20"/>
          <w:szCs w:val="20"/>
        </w:rPr>
      </w:pPr>
      <w:r w:rsidRPr="00446ECF">
        <w:rPr>
          <w:rFonts w:asciiTheme="minorHAnsi" w:hAnsiTheme="minorHAnsi" w:cs="Martel Sans"/>
          <w:sz w:val="20"/>
          <w:szCs w:val="20"/>
        </w:rPr>
        <w:t xml:space="preserve">Na základe vyššie vykonaných čiastkových výpočtov a uvedených údajov (viď. Tab. 1 - 2), je celková cena práce za výkon </w:t>
      </w:r>
      <w:r>
        <w:rPr>
          <w:rFonts w:asciiTheme="minorHAnsi" w:hAnsiTheme="minorHAnsi" w:cstheme="minorHAnsi"/>
          <w:sz w:val="20"/>
          <w:szCs w:val="24"/>
        </w:rPr>
        <w:t>zdravotnej mediácie v prostredí MRK na komunitnej úrovni</w:t>
      </w:r>
      <w:r w:rsidRPr="00446ECF">
        <w:rPr>
          <w:rFonts w:asciiTheme="minorHAnsi" w:hAnsiTheme="minorHAnsi" w:cs="Martel Sans"/>
          <w:sz w:val="20"/>
          <w:szCs w:val="20"/>
        </w:rPr>
        <w:t xml:space="preserve"> stanovená nasledovne (viď Tab. 3)</w:t>
      </w:r>
      <w:r w:rsidR="00C13E20">
        <w:rPr>
          <w:rFonts w:asciiTheme="minorHAnsi" w:hAnsiTheme="minorHAnsi" w:cs="Martel Sans"/>
          <w:sz w:val="20"/>
          <w:szCs w:val="20"/>
        </w:rPr>
        <w:t>, pričom</w:t>
      </w:r>
      <w:r>
        <w:rPr>
          <w:rFonts w:asciiTheme="minorHAnsi" w:hAnsiTheme="minorHAnsi" w:cs="Martel Sans"/>
          <w:sz w:val="20"/>
          <w:szCs w:val="20"/>
        </w:rPr>
        <w:t>:</w:t>
      </w:r>
    </w:p>
    <w:p w14:paraId="725025A4" w14:textId="0E0FBCF4" w:rsidR="00C13E20" w:rsidRPr="00C13E20" w:rsidRDefault="00C13E20" w:rsidP="00C13E20">
      <w:pPr>
        <w:pStyle w:val="Odsekzoznamu"/>
        <w:numPr>
          <w:ilvl w:val="0"/>
          <w:numId w:val="14"/>
        </w:numPr>
        <w:ind w:left="426" w:hanging="284"/>
        <w:jc w:val="both"/>
        <w:rPr>
          <w:rFonts w:asciiTheme="minorHAnsi" w:hAnsiTheme="minorHAnsi" w:cs="Martel Sans"/>
          <w:sz w:val="18"/>
          <w:szCs w:val="20"/>
        </w:rPr>
      </w:pPr>
      <w:r w:rsidRPr="00C13E20">
        <w:rPr>
          <w:sz w:val="20"/>
        </w:rPr>
        <w:t xml:space="preserve">za kalendárny rok 2016 bola CCP pre AOZ stanovená nasledovne: ŠSJN stanovuje mechanizmus každoročného rastu celkovej ceny práce AOZ. Ten určuje, že k 1. januáru príslušného roka bude celková cena práce prepočítaná na základe indexu nominálnej mzdy v hospodárstve SR, zverejnenom Štatistickým úradom SR za prvý až druhý štvrťrok kalendárneho roka, ktorý predchádza príslušnému kalendárnemu roku. Z uvedeného, normatívne stanoveného mechanizmu vyplýva, že na základe štatistických údajov za rok 2015 bude k 01.01.2016 celková cena práce AOZ </w:t>
      </w:r>
      <w:r>
        <w:rPr>
          <w:sz w:val="20"/>
        </w:rPr>
        <w:t>zvýšená o 2,25 %, tzn. CCP bola stanovená vo výške 580,56 eur.</w:t>
      </w:r>
    </w:p>
    <w:p w14:paraId="278270EE" w14:textId="51D6FF87" w:rsidR="00C13E20" w:rsidRPr="00C13E20" w:rsidRDefault="00C13E20" w:rsidP="00C13E20">
      <w:pPr>
        <w:pStyle w:val="Odsekzoznamu"/>
        <w:numPr>
          <w:ilvl w:val="0"/>
          <w:numId w:val="14"/>
        </w:numPr>
        <w:ind w:left="426" w:hanging="284"/>
        <w:jc w:val="both"/>
        <w:rPr>
          <w:rFonts w:asciiTheme="minorHAnsi" w:hAnsiTheme="minorHAnsi" w:cs="Martel Sans"/>
          <w:sz w:val="18"/>
          <w:szCs w:val="20"/>
        </w:rPr>
      </w:pPr>
      <w:r w:rsidRPr="00C13E20">
        <w:rPr>
          <w:sz w:val="20"/>
        </w:rPr>
        <w:t>za kalendárny rok 2017 bola CCP pre AOZ stanovená nasledovne: ŠSJN stanovuje mechanizmus každoročného rastu celkovej ceny práce AOZ. Ten určuje, že k 1. januáru príslušného roka bude celková cena práce prepočítaná na základe indexu nominálnej mzdy v hospodárstve SR, zverejnenom Štatistickým úradom SR za prvý až druhý štvrťrok kalendárneho roka, ktorý predchádza príslušnému kalendárnemu roku. Z uvedeného, normatívne stanoveného mechanizmu vyplýva, že na základe štatistických údajov za rok 2016 bude k 01.01.2017 celková</w:t>
      </w:r>
      <w:r>
        <w:rPr>
          <w:sz w:val="20"/>
        </w:rPr>
        <w:t xml:space="preserve"> cena práce AOZ zvýšená o 3,0 %,</w:t>
      </w:r>
      <w:r w:rsidRPr="00C13E20">
        <w:rPr>
          <w:sz w:val="20"/>
        </w:rPr>
        <w:t xml:space="preserve"> </w:t>
      </w:r>
      <w:r>
        <w:rPr>
          <w:sz w:val="20"/>
        </w:rPr>
        <w:t>tzn. CCP bola stanovená vo výške 597,98 eur.</w:t>
      </w:r>
    </w:p>
    <w:p w14:paraId="6D09F2B0" w14:textId="77777777" w:rsidR="00713338" w:rsidRPr="006112DE" w:rsidRDefault="00713338" w:rsidP="00713338">
      <w:pPr>
        <w:spacing w:after="0" w:line="240" w:lineRule="auto"/>
        <w:contextualSpacing/>
        <w:jc w:val="both"/>
        <w:rPr>
          <w:rFonts w:asciiTheme="minorHAnsi" w:hAnsiTheme="minorHAnsi" w:cs="Martel Sans"/>
          <w:b/>
          <w:sz w:val="20"/>
          <w:szCs w:val="20"/>
        </w:rPr>
      </w:pPr>
      <w:r w:rsidRPr="00081A6C">
        <w:rPr>
          <w:rFonts w:asciiTheme="minorHAnsi" w:hAnsiTheme="minorHAnsi" w:cs="Martel Sans"/>
          <w:sz w:val="20"/>
          <w:szCs w:val="20"/>
        </w:rPr>
        <w:t>Tab. 3 Výpočet celkovej ceny práce</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2"/>
        <w:gridCol w:w="1615"/>
        <w:gridCol w:w="1701"/>
        <w:gridCol w:w="1559"/>
      </w:tblGrid>
      <w:tr w:rsidR="00713338" w:rsidRPr="005B7DB1" w14:paraId="6D09F2B3" w14:textId="77777777" w:rsidTr="00713338">
        <w:trPr>
          <w:jc w:val="center"/>
        </w:trPr>
        <w:tc>
          <w:tcPr>
            <w:tcW w:w="4192" w:type="dxa"/>
            <w:tcBorders>
              <w:top w:val="single" w:sz="4" w:space="0" w:color="auto"/>
              <w:left w:val="single" w:sz="4" w:space="0" w:color="auto"/>
              <w:bottom w:val="single" w:sz="4" w:space="0" w:color="auto"/>
              <w:right w:val="single" w:sz="4" w:space="0" w:color="auto"/>
            </w:tcBorders>
            <w:shd w:val="clear" w:color="auto" w:fill="FECB90"/>
            <w:hideMark/>
          </w:tcPr>
          <w:p w14:paraId="6D09F2B1" w14:textId="77777777" w:rsidR="00713338" w:rsidRPr="006112DE" w:rsidRDefault="00713338" w:rsidP="00363523">
            <w:pPr>
              <w:spacing w:after="0" w:line="240" w:lineRule="auto"/>
              <w:contextualSpacing/>
              <w:jc w:val="center"/>
              <w:rPr>
                <w:rFonts w:asciiTheme="minorHAnsi" w:hAnsiTheme="minorHAnsi" w:cs="Martel Sans"/>
                <w:b/>
                <w:sz w:val="20"/>
                <w:szCs w:val="20"/>
              </w:rPr>
            </w:pPr>
            <w:r w:rsidRPr="006112DE">
              <w:rPr>
                <w:rFonts w:asciiTheme="minorHAnsi" w:hAnsiTheme="minorHAnsi" w:cs="Martel Sans"/>
                <w:b/>
                <w:sz w:val="20"/>
                <w:szCs w:val="20"/>
              </w:rPr>
              <w:t xml:space="preserve">Celková cena práce </w:t>
            </w:r>
          </w:p>
        </w:tc>
        <w:tc>
          <w:tcPr>
            <w:tcW w:w="4875" w:type="dxa"/>
            <w:gridSpan w:val="3"/>
            <w:tcBorders>
              <w:top w:val="single" w:sz="4" w:space="0" w:color="auto"/>
              <w:left w:val="single" w:sz="4" w:space="0" w:color="auto"/>
              <w:bottom w:val="single" w:sz="4" w:space="0" w:color="auto"/>
              <w:right w:val="single" w:sz="4" w:space="0" w:color="auto"/>
            </w:tcBorders>
            <w:shd w:val="clear" w:color="auto" w:fill="FECB90"/>
            <w:hideMark/>
          </w:tcPr>
          <w:p w14:paraId="6D09F2B2" w14:textId="77777777" w:rsidR="00713338" w:rsidRPr="006112DE" w:rsidRDefault="00713338" w:rsidP="00363523">
            <w:pPr>
              <w:spacing w:after="0" w:line="240" w:lineRule="auto"/>
              <w:contextualSpacing/>
              <w:jc w:val="center"/>
              <w:rPr>
                <w:rFonts w:asciiTheme="minorHAnsi" w:hAnsiTheme="minorHAnsi" w:cs="Martel Sans"/>
                <w:b/>
                <w:sz w:val="20"/>
                <w:szCs w:val="20"/>
              </w:rPr>
            </w:pPr>
            <w:r w:rsidRPr="006112DE">
              <w:rPr>
                <w:rFonts w:asciiTheme="minorHAnsi" w:hAnsiTheme="minorHAnsi" w:cs="Martel Sans"/>
                <w:b/>
                <w:sz w:val="20"/>
                <w:szCs w:val="20"/>
              </w:rPr>
              <w:t>Asistent osvety zdravia (mesačne)</w:t>
            </w:r>
          </w:p>
        </w:tc>
      </w:tr>
      <w:tr w:rsidR="00713338" w:rsidRPr="00357CD3" w14:paraId="6D09F2B8" w14:textId="77777777" w:rsidTr="00713338">
        <w:trPr>
          <w:jc w:val="center"/>
        </w:trPr>
        <w:tc>
          <w:tcPr>
            <w:tcW w:w="4192" w:type="dxa"/>
            <w:tcBorders>
              <w:top w:val="single" w:sz="4" w:space="0" w:color="auto"/>
              <w:left w:val="single" w:sz="4" w:space="0" w:color="auto"/>
              <w:bottom w:val="single" w:sz="4" w:space="0" w:color="auto"/>
              <w:right w:val="single" w:sz="4" w:space="0" w:color="auto"/>
            </w:tcBorders>
          </w:tcPr>
          <w:p w14:paraId="6D09F2B4" w14:textId="77777777" w:rsidR="00713338" w:rsidRPr="005A2DBD" w:rsidRDefault="00713338" w:rsidP="00363523">
            <w:pPr>
              <w:spacing w:after="0" w:line="240" w:lineRule="auto"/>
              <w:contextualSpacing/>
              <w:rPr>
                <w:rFonts w:asciiTheme="minorHAnsi" w:hAnsiTheme="minorHAnsi" w:cs="Martel Sans"/>
                <w:b/>
                <w:sz w:val="20"/>
                <w:szCs w:val="20"/>
              </w:rPr>
            </w:pPr>
            <w:r w:rsidRPr="005A2DBD">
              <w:rPr>
                <w:rFonts w:asciiTheme="minorHAnsi" w:hAnsiTheme="minorHAnsi" w:cs="Martel Sans"/>
                <w:sz w:val="20"/>
                <w:szCs w:val="20"/>
              </w:rPr>
              <w:t>Kalendárny</w:t>
            </w:r>
            <w:r>
              <w:rPr>
                <w:rFonts w:asciiTheme="minorHAnsi" w:hAnsiTheme="minorHAnsi" w:cs="Martel Sans"/>
                <w:b/>
                <w:sz w:val="20"/>
                <w:szCs w:val="20"/>
              </w:rPr>
              <w:t xml:space="preserve"> </w:t>
            </w:r>
            <w:r w:rsidRPr="00713338">
              <w:rPr>
                <w:rFonts w:asciiTheme="minorHAnsi" w:hAnsiTheme="minorHAnsi" w:cs="Martel Sans"/>
                <w:sz w:val="20"/>
                <w:szCs w:val="20"/>
              </w:rPr>
              <w:t>rok</w:t>
            </w:r>
          </w:p>
        </w:tc>
        <w:tc>
          <w:tcPr>
            <w:tcW w:w="1615" w:type="dxa"/>
            <w:tcBorders>
              <w:top w:val="single" w:sz="4" w:space="0" w:color="auto"/>
              <w:left w:val="single" w:sz="4" w:space="0" w:color="auto"/>
              <w:bottom w:val="single" w:sz="4" w:space="0" w:color="auto"/>
              <w:right w:val="single" w:sz="4" w:space="0" w:color="auto"/>
            </w:tcBorders>
          </w:tcPr>
          <w:p w14:paraId="6D09F2B5" w14:textId="77777777" w:rsidR="00713338" w:rsidRPr="00357CD3" w:rsidRDefault="00713338" w:rsidP="00363523">
            <w:pPr>
              <w:spacing w:after="0" w:line="240" w:lineRule="auto"/>
              <w:contextualSpacing/>
              <w:jc w:val="center"/>
              <w:rPr>
                <w:rFonts w:asciiTheme="minorHAnsi" w:hAnsiTheme="minorHAnsi" w:cs="Martel Sans"/>
                <w:sz w:val="20"/>
                <w:szCs w:val="20"/>
              </w:rPr>
            </w:pPr>
            <w:r>
              <w:rPr>
                <w:rFonts w:asciiTheme="minorHAnsi" w:hAnsiTheme="minorHAnsi" w:cs="Martel Sans"/>
                <w:sz w:val="20"/>
                <w:szCs w:val="20"/>
              </w:rPr>
              <w:t>2015</w:t>
            </w:r>
          </w:p>
        </w:tc>
        <w:tc>
          <w:tcPr>
            <w:tcW w:w="1701" w:type="dxa"/>
            <w:tcBorders>
              <w:top w:val="single" w:sz="4" w:space="0" w:color="auto"/>
              <w:left w:val="single" w:sz="4" w:space="0" w:color="auto"/>
              <w:bottom w:val="single" w:sz="4" w:space="0" w:color="auto"/>
              <w:right w:val="single" w:sz="4" w:space="0" w:color="auto"/>
            </w:tcBorders>
          </w:tcPr>
          <w:p w14:paraId="6D09F2B6" w14:textId="498FD101" w:rsidR="00713338" w:rsidRPr="00357CD3" w:rsidRDefault="00713338" w:rsidP="00C13E20">
            <w:pPr>
              <w:spacing w:after="0" w:line="240" w:lineRule="auto"/>
              <w:contextualSpacing/>
              <w:jc w:val="center"/>
              <w:rPr>
                <w:rFonts w:asciiTheme="minorHAnsi" w:hAnsiTheme="minorHAnsi" w:cs="Martel Sans"/>
                <w:sz w:val="20"/>
                <w:szCs w:val="20"/>
              </w:rPr>
            </w:pPr>
            <w:r>
              <w:rPr>
                <w:rFonts w:asciiTheme="minorHAnsi" w:hAnsiTheme="minorHAnsi" w:cs="Martel Sans"/>
                <w:sz w:val="20"/>
                <w:szCs w:val="20"/>
              </w:rPr>
              <w:t>2016</w:t>
            </w:r>
          </w:p>
        </w:tc>
        <w:tc>
          <w:tcPr>
            <w:tcW w:w="1559" w:type="dxa"/>
            <w:tcBorders>
              <w:top w:val="single" w:sz="4" w:space="0" w:color="auto"/>
              <w:left w:val="single" w:sz="4" w:space="0" w:color="auto"/>
              <w:bottom w:val="single" w:sz="4" w:space="0" w:color="auto"/>
              <w:right w:val="single" w:sz="4" w:space="0" w:color="auto"/>
            </w:tcBorders>
            <w:shd w:val="clear" w:color="auto" w:fill="FECB90"/>
          </w:tcPr>
          <w:p w14:paraId="6D09F2B7" w14:textId="2257F5B7" w:rsidR="00713338" w:rsidRPr="00FA13A7" w:rsidRDefault="00713338" w:rsidP="00C13E20">
            <w:pPr>
              <w:spacing w:after="0" w:line="240" w:lineRule="auto"/>
              <w:contextualSpacing/>
              <w:jc w:val="center"/>
              <w:rPr>
                <w:rFonts w:asciiTheme="minorHAnsi" w:hAnsiTheme="minorHAnsi" w:cs="Martel Sans"/>
                <w:b/>
                <w:sz w:val="20"/>
                <w:szCs w:val="20"/>
              </w:rPr>
            </w:pPr>
            <w:r w:rsidRPr="00FA13A7">
              <w:rPr>
                <w:rFonts w:asciiTheme="minorHAnsi" w:hAnsiTheme="minorHAnsi" w:cs="Martel Sans"/>
                <w:b/>
                <w:sz w:val="20"/>
                <w:szCs w:val="20"/>
              </w:rPr>
              <w:t>2017</w:t>
            </w:r>
          </w:p>
        </w:tc>
      </w:tr>
      <w:tr w:rsidR="00713338" w:rsidRPr="00357CD3" w14:paraId="6D09F2BD" w14:textId="77777777" w:rsidTr="00713338">
        <w:trPr>
          <w:jc w:val="center"/>
        </w:trPr>
        <w:tc>
          <w:tcPr>
            <w:tcW w:w="4192" w:type="dxa"/>
            <w:tcBorders>
              <w:top w:val="single" w:sz="4" w:space="0" w:color="auto"/>
              <w:left w:val="single" w:sz="4" w:space="0" w:color="auto"/>
              <w:bottom w:val="single" w:sz="4" w:space="0" w:color="auto"/>
              <w:right w:val="single" w:sz="4" w:space="0" w:color="auto"/>
            </w:tcBorders>
            <w:hideMark/>
          </w:tcPr>
          <w:p w14:paraId="6D09F2B9" w14:textId="77777777" w:rsidR="00713338" w:rsidRPr="00357CD3" w:rsidRDefault="00713338" w:rsidP="00363523">
            <w:pPr>
              <w:spacing w:after="0" w:line="240" w:lineRule="auto"/>
              <w:contextualSpacing/>
              <w:jc w:val="both"/>
              <w:rPr>
                <w:rFonts w:asciiTheme="minorHAnsi" w:hAnsiTheme="minorHAnsi" w:cs="Martel Sans"/>
                <w:sz w:val="20"/>
                <w:szCs w:val="20"/>
              </w:rPr>
            </w:pPr>
            <w:r w:rsidRPr="00357CD3">
              <w:rPr>
                <w:rFonts w:asciiTheme="minorHAnsi" w:hAnsiTheme="minorHAnsi" w:cs="Martel Sans"/>
                <w:sz w:val="20"/>
                <w:szCs w:val="20"/>
              </w:rPr>
              <w:t>Hrubá mzda</w:t>
            </w:r>
          </w:p>
        </w:tc>
        <w:tc>
          <w:tcPr>
            <w:tcW w:w="1615" w:type="dxa"/>
            <w:tcBorders>
              <w:top w:val="single" w:sz="4" w:space="0" w:color="auto"/>
              <w:left w:val="single" w:sz="4" w:space="0" w:color="auto"/>
              <w:bottom w:val="single" w:sz="4" w:space="0" w:color="auto"/>
              <w:right w:val="single" w:sz="4" w:space="0" w:color="auto"/>
            </w:tcBorders>
            <w:hideMark/>
          </w:tcPr>
          <w:p w14:paraId="6D09F2BA" w14:textId="77777777" w:rsidR="00713338" w:rsidRPr="00357CD3" w:rsidRDefault="00713338" w:rsidP="00363523">
            <w:pPr>
              <w:spacing w:after="0" w:line="240" w:lineRule="auto"/>
              <w:contextualSpacing/>
              <w:jc w:val="center"/>
              <w:rPr>
                <w:rFonts w:asciiTheme="minorHAnsi" w:hAnsiTheme="minorHAnsi" w:cs="Martel Sans"/>
                <w:sz w:val="20"/>
                <w:szCs w:val="20"/>
              </w:rPr>
            </w:pPr>
            <w:r w:rsidRPr="00357CD3">
              <w:rPr>
                <w:rFonts w:asciiTheme="minorHAnsi" w:hAnsiTheme="minorHAnsi" w:cs="Martel Sans"/>
                <w:sz w:val="20"/>
                <w:szCs w:val="20"/>
              </w:rPr>
              <w:t xml:space="preserve">440,00 </w:t>
            </w:r>
            <w:r w:rsidRPr="00357CD3">
              <w:rPr>
                <w:rFonts w:asciiTheme="minorHAnsi" w:eastAsia="Times New Roman" w:hAnsiTheme="minorHAnsi" w:cs="Martel Sans"/>
                <w:bCs/>
                <w:sz w:val="20"/>
                <w:szCs w:val="20"/>
                <w:lang w:eastAsia="sk-SK"/>
              </w:rPr>
              <w:t>€</w:t>
            </w:r>
          </w:p>
        </w:tc>
        <w:tc>
          <w:tcPr>
            <w:tcW w:w="1701" w:type="dxa"/>
            <w:tcBorders>
              <w:top w:val="single" w:sz="4" w:space="0" w:color="auto"/>
              <w:left w:val="single" w:sz="4" w:space="0" w:color="auto"/>
              <w:bottom w:val="single" w:sz="4" w:space="0" w:color="auto"/>
              <w:right w:val="single" w:sz="4" w:space="0" w:color="auto"/>
            </w:tcBorders>
          </w:tcPr>
          <w:p w14:paraId="6D09F2BB" w14:textId="0816E3FC" w:rsidR="00713338" w:rsidRPr="00357CD3" w:rsidRDefault="00FA4728" w:rsidP="00363523">
            <w:pPr>
              <w:spacing w:after="0" w:line="240" w:lineRule="auto"/>
              <w:contextualSpacing/>
              <w:jc w:val="center"/>
              <w:rPr>
                <w:rFonts w:asciiTheme="minorHAnsi" w:hAnsiTheme="minorHAnsi" w:cs="Martel Sans"/>
                <w:sz w:val="20"/>
                <w:szCs w:val="20"/>
              </w:rPr>
            </w:pPr>
            <w:r>
              <w:rPr>
                <w:rFonts w:asciiTheme="minorHAnsi" w:hAnsiTheme="minorHAnsi" w:cs="Martel Sans"/>
                <w:sz w:val="20"/>
                <w:szCs w:val="20"/>
              </w:rPr>
              <w:t>448,25</w:t>
            </w:r>
          </w:p>
        </w:tc>
        <w:tc>
          <w:tcPr>
            <w:tcW w:w="1559" w:type="dxa"/>
            <w:tcBorders>
              <w:top w:val="single" w:sz="4" w:space="0" w:color="auto"/>
              <w:left w:val="single" w:sz="4" w:space="0" w:color="auto"/>
              <w:bottom w:val="single" w:sz="4" w:space="0" w:color="auto"/>
              <w:right w:val="single" w:sz="4" w:space="0" w:color="auto"/>
            </w:tcBorders>
            <w:shd w:val="clear" w:color="auto" w:fill="FECB90"/>
          </w:tcPr>
          <w:p w14:paraId="6D09F2BC" w14:textId="7134E734" w:rsidR="00713338" w:rsidRPr="00FA13A7" w:rsidRDefault="00FA4728" w:rsidP="00363523">
            <w:pPr>
              <w:spacing w:after="0" w:line="240" w:lineRule="auto"/>
              <w:contextualSpacing/>
              <w:jc w:val="center"/>
              <w:rPr>
                <w:rFonts w:asciiTheme="minorHAnsi" w:hAnsiTheme="minorHAnsi" w:cs="Martel Sans"/>
                <w:b/>
                <w:sz w:val="20"/>
                <w:szCs w:val="20"/>
              </w:rPr>
            </w:pPr>
            <w:r>
              <w:rPr>
                <w:rFonts w:asciiTheme="minorHAnsi" w:hAnsiTheme="minorHAnsi" w:cs="Martel Sans"/>
                <w:b/>
                <w:sz w:val="20"/>
                <w:szCs w:val="20"/>
              </w:rPr>
              <w:t>459,49</w:t>
            </w:r>
          </w:p>
        </w:tc>
      </w:tr>
      <w:tr w:rsidR="00713338" w:rsidRPr="00357CD3" w14:paraId="6D09F2C2" w14:textId="77777777" w:rsidTr="00713338">
        <w:trPr>
          <w:jc w:val="center"/>
        </w:trPr>
        <w:tc>
          <w:tcPr>
            <w:tcW w:w="4192" w:type="dxa"/>
            <w:tcBorders>
              <w:top w:val="single" w:sz="4" w:space="0" w:color="auto"/>
              <w:left w:val="single" w:sz="4" w:space="0" w:color="auto"/>
              <w:bottom w:val="single" w:sz="4" w:space="0" w:color="auto"/>
              <w:right w:val="single" w:sz="4" w:space="0" w:color="auto"/>
            </w:tcBorders>
            <w:hideMark/>
          </w:tcPr>
          <w:p w14:paraId="6D09F2BE" w14:textId="77777777" w:rsidR="00713338" w:rsidRPr="00357CD3" w:rsidRDefault="00713338" w:rsidP="00363523">
            <w:pPr>
              <w:spacing w:after="0" w:line="240" w:lineRule="auto"/>
              <w:contextualSpacing/>
              <w:jc w:val="both"/>
              <w:rPr>
                <w:rFonts w:asciiTheme="minorHAnsi" w:hAnsiTheme="minorHAnsi" w:cs="Martel Sans"/>
                <w:sz w:val="20"/>
                <w:szCs w:val="20"/>
              </w:rPr>
            </w:pPr>
            <w:r w:rsidRPr="00357CD3">
              <w:rPr>
                <w:rFonts w:asciiTheme="minorHAnsi" w:hAnsiTheme="minorHAnsi" w:cs="Martel Sans"/>
                <w:sz w:val="20"/>
                <w:szCs w:val="20"/>
              </w:rPr>
              <w:t>Povinné odvody zamestnávateľa (z hrubej mzdy)</w:t>
            </w:r>
          </w:p>
        </w:tc>
        <w:tc>
          <w:tcPr>
            <w:tcW w:w="1615" w:type="dxa"/>
            <w:tcBorders>
              <w:top w:val="single" w:sz="4" w:space="0" w:color="auto"/>
              <w:left w:val="single" w:sz="4" w:space="0" w:color="auto"/>
              <w:bottom w:val="single" w:sz="4" w:space="0" w:color="auto"/>
              <w:right w:val="single" w:sz="4" w:space="0" w:color="auto"/>
            </w:tcBorders>
            <w:hideMark/>
          </w:tcPr>
          <w:p w14:paraId="6D09F2BF" w14:textId="77777777" w:rsidR="00713338" w:rsidRPr="00357CD3" w:rsidRDefault="00713338" w:rsidP="00363523">
            <w:pPr>
              <w:spacing w:after="0" w:line="240" w:lineRule="auto"/>
              <w:contextualSpacing/>
              <w:jc w:val="center"/>
              <w:rPr>
                <w:rFonts w:asciiTheme="minorHAnsi" w:hAnsiTheme="minorHAnsi" w:cs="Martel Sans"/>
                <w:sz w:val="20"/>
                <w:szCs w:val="20"/>
              </w:rPr>
            </w:pPr>
            <w:r>
              <w:rPr>
                <w:rFonts w:asciiTheme="minorHAnsi" w:hAnsiTheme="minorHAnsi" w:cs="Martel Sans"/>
                <w:sz w:val="20"/>
                <w:szCs w:val="20"/>
              </w:rPr>
              <w:t>127,78</w:t>
            </w:r>
            <w:r w:rsidRPr="00357CD3">
              <w:rPr>
                <w:rFonts w:asciiTheme="minorHAnsi" w:hAnsiTheme="minorHAnsi" w:cs="Martel Sans"/>
                <w:sz w:val="20"/>
                <w:szCs w:val="20"/>
              </w:rPr>
              <w:t xml:space="preserve"> </w:t>
            </w:r>
            <w:r w:rsidRPr="00357CD3">
              <w:rPr>
                <w:rFonts w:asciiTheme="minorHAnsi" w:eastAsia="Times New Roman" w:hAnsiTheme="minorHAnsi" w:cs="Martel Sans"/>
                <w:bCs/>
                <w:sz w:val="20"/>
                <w:szCs w:val="20"/>
                <w:lang w:eastAsia="sk-SK"/>
              </w:rPr>
              <w:t>€</w:t>
            </w:r>
          </w:p>
        </w:tc>
        <w:tc>
          <w:tcPr>
            <w:tcW w:w="1701" w:type="dxa"/>
            <w:tcBorders>
              <w:top w:val="single" w:sz="4" w:space="0" w:color="auto"/>
              <w:left w:val="single" w:sz="4" w:space="0" w:color="auto"/>
              <w:bottom w:val="single" w:sz="4" w:space="0" w:color="auto"/>
              <w:right w:val="single" w:sz="4" w:space="0" w:color="auto"/>
            </w:tcBorders>
          </w:tcPr>
          <w:p w14:paraId="6D09F2C0" w14:textId="159699A0" w:rsidR="00713338" w:rsidRDefault="00FA4728" w:rsidP="00363523">
            <w:pPr>
              <w:spacing w:after="0" w:line="240" w:lineRule="auto"/>
              <w:contextualSpacing/>
              <w:jc w:val="center"/>
              <w:rPr>
                <w:rFonts w:asciiTheme="minorHAnsi" w:hAnsiTheme="minorHAnsi" w:cs="Martel Sans"/>
                <w:sz w:val="20"/>
                <w:szCs w:val="20"/>
              </w:rPr>
            </w:pPr>
            <w:r>
              <w:rPr>
                <w:rFonts w:asciiTheme="minorHAnsi" w:hAnsiTheme="minorHAnsi" w:cs="Martel Sans"/>
                <w:sz w:val="20"/>
                <w:szCs w:val="20"/>
              </w:rPr>
              <w:t>132,31</w:t>
            </w:r>
          </w:p>
        </w:tc>
        <w:tc>
          <w:tcPr>
            <w:tcW w:w="1559" w:type="dxa"/>
            <w:tcBorders>
              <w:top w:val="single" w:sz="4" w:space="0" w:color="auto"/>
              <w:left w:val="single" w:sz="4" w:space="0" w:color="auto"/>
              <w:bottom w:val="single" w:sz="4" w:space="0" w:color="auto"/>
              <w:right w:val="single" w:sz="4" w:space="0" w:color="auto"/>
            </w:tcBorders>
            <w:shd w:val="clear" w:color="auto" w:fill="FECB90"/>
          </w:tcPr>
          <w:p w14:paraId="6D09F2C1" w14:textId="4D90399C" w:rsidR="00713338" w:rsidRPr="00FA13A7" w:rsidRDefault="00FA4728" w:rsidP="00363523">
            <w:pPr>
              <w:spacing w:after="0" w:line="240" w:lineRule="auto"/>
              <w:contextualSpacing/>
              <w:jc w:val="center"/>
              <w:rPr>
                <w:rFonts w:asciiTheme="minorHAnsi" w:hAnsiTheme="minorHAnsi" w:cs="Martel Sans"/>
                <w:b/>
                <w:sz w:val="20"/>
                <w:szCs w:val="20"/>
              </w:rPr>
            </w:pPr>
            <w:r>
              <w:rPr>
                <w:rFonts w:asciiTheme="minorHAnsi" w:hAnsiTheme="minorHAnsi" w:cs="Martel Sans"/>
                <w:b/>
                <w:sz w:val="20"/>
                <w:szCs w:val="20"/>
              </w:rPr>
              <w:t>138,49</w:t>
            </w:r>
          </w:p>
        </w:tc>
      </w:tr>
      <w:tr w:rsidR="00713338" w:rsidRPr="00357CD3" w14:paraId="6D09F2C7" w14:textId="77777777" w:rsidTr="00713338">
        <w:trPr>
          <w:jc w:val="center"/>
        </w:trPr>
        <w:tc>
          <w:tcPr>
            <w:tcW w:w="4192" w:type="dxa"/>
            <w:tcBorders>
              <w:top w:val="single" w:sz="4" w:space="0" w:color="auto"/>
              <w:left w:val="single" w:sz="4" w:space="0" w:color="auto"/>
              <w:bottom w:val="single" w:sz="4" w:space="0" w:color="auto"/>
              <w:right w:val="single" w:sz="4" w:space="0" w:color="auto"/>
            </w:tcBorders>
            <w:shd w:val="clear" w:color="auto" w:fill="FECB90"/>
            <w:hideMark/>
          </w:tcPr>
          <w:p w14:paraId="6D09F2C3" w14:textId="77777777" w:rsidR="00713338" w:rsidRPr="00357CD3" w:rsidRDefault="00713338" w:rsidP="00363523">
            <w:pPr>
              <w:spacing w:after="0" w:line="240" w:lineRule="auto"/>
              <w:contextualSpacing/>
              <w:jc w:val="both"/>
              <w:rPr>
                <w:rFonts w:asciiTheme="minorHAnsi" w:hAnsiTheme="minorHAnsi" w:cs="Martel Sans"/>
                <w:b/>
                <w:sz w:val="20"/>
                <w:szCs w:val="20"/>
              </w:rPr>
            </w:pPr>
            <w:r w:rsidRPr="00357CD3">
              <w:rPr>
                <w:rFonts w:asciiTheme="minorHAnsi" w:hAnsiTheme="minorHAnsi" w:cs="Martel Sans"/>
                <w:b/>
                <w:sz w:val="20"/>
                <w:szCs w:val="20"/>
              </w:rPr>
              <w:t>Celková cena práce</w:t>
            </w:r>
          </w:p>
        </w:tc>
        <w:tc>
          <w:tcPr>
            <w:tcW w:w="1615" w:type="dxa"/>
            <w:tcBorders>
              <w:top w:val="single" w:sz="4" w:space="0" w:color="auto"/>
              <w:left w:val="single" w:sz="4" w:space="0" w:color="auto"/>
              <w:bottom w:val="single" w:sz="4" w:space="0" w:color="auto"/>
              <w:right w:val="single" w:sz="4" w:space="0" w:color="auto"/>
            </w:tcBorders>
            <w:shd w:val="clear" w:color="auto" w:fill="auto"/>
            <w:hideMark/>
          </w:tcPr>
          <w:p w14:paraId="6D09F2C4" w14:textId="77777777" w:rsidR="00713338" w:rsidRPr="00FA13A7" w:rsidRDefault="00713338" w:rsidP="00363523">
            <w:pPr>
              <w:spacing w:after="0" w:line="240" w:lineRule="auto"/>
              <w:contextualSpacing/>
              <w:jc w:val="center"/>
              <w:rPr>
                <w:rFonts w:asciiTheme="minorHAnsi" w:hAnsiTheme="minorHAnsi" w:cs="Martel Sans"/>
                <w:strike/>
                <w:sz w:val="20"/>
                <w:szCs w:val="20"/>
              </w:rPr>
            </w:pPr>
            <w:r w:rsidRPr="00FA13A7">
              <w:rPr>
                <w:rFonts w:asciiTheme="minorHAnsi" w:hAnsiTheme="minorHAnsi" w:cs="Martel Sans"/>
                <w:sz w:val="20"/>
                <w:szCs w:val="20"/>
              </w:rPr>
              <w:t xml:space="preserve">567,78 </w:t>
            </w:r>
            <w:r w:rsidRPr="00FA13A7">
              <w:rPr>
                <w:rFonts w:asciiTheme="minorHAnsi" w:eastAsia="Times New Roman" w:hAnsiTheme="minorHAnsi" w:cs="Martel Sans"/>
                <w:bCs/>
                <w:sz w:val="20"/>
                <w:szCs w:val="20"/>
                <w:lang w:eastAsia="sk-SK"/>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09F2C5" w14:textId="77777777" w:rsidR="00713338" w:rsidRPr="00FA13A7" w:rsidRDefault="00713338" w:rsidP="00363523">
            <w:pPr>
              <w:spacing w:after="0" w:line="240" w:lineRule="auto"/>
              <w:contextualSpacing/>
              <w:jc w:val="center"/>
              <w:rPr>
                <w:rFonts w:asciiTheme="minorHAnsi" w:hAnsiTheme="minorHAnsi" w:cs="Martel Sans"/>
                <w:sz w:val="20"/>
                <w:szCs w:val="20"/>
              </w:rPr>
            </w:pPr>
            <w:r w:rsidRPr="00FA13A7">
              <w:rPr>
                <w:rFonts w:asciiTheme="minorHAnsi" w:hAnsiTheme="minorHAnsi" w:cs="Martel Sans"/>
                <w:sz w:val="20"/>
                <w:szCs w:val="20"/>
              </w:rPr>
              <w:t>580,56 €</w:t>
            </w:r>
          </w:p>
        </w:tc>
        <w:tc>
          <w:tcPr>
            <w:tcW w:w="1559" w:type="dxa"/>
            <w:tcBorders>
              <w:top w:val="single" w:sz="4" w:space="0" w:color="auto"/>
              <w:left w:val="single" w:sz="4" w:space="0" w:color="auto"/>
              <w:bottom w:val="single" w:sz="4" w:space="0" w:color="auto"/>
              <w:right w:val="single" w:sz="4" w:space="0" w:color="auto"/>
            </w:tcBorders>
            <w:shd w:val="clear" w:color="auto" w:fill="FECB90"/>
          </w:tcPr>
          <w:p w14:paraId="6D09F2C6" w14:textId="77777777" w:rsidR="00713338" w:rsidRDefault="00713338" w:rsidP="00363523">
            <w:pPr>
              <w:tabs>
                <w:tab w:val="left" w:pos="236"/>
                <w:tab w:val="center" w:pos="577"/>
              </w:tabs>
              <w:spacing w:after="0" w:line="240" w:lineRule="auto"/>
              <w:contextualSpacing/>
              <w:jc w:val="center"/>
              <w:rPr>
                <w:rFonts w:asciiTheme="minorHAnsi" w:hAnsiTheme="minorHAnsi" w:cs="Martel Sans"/>
                <w:b/>
                <w:sz w:val="20"/>
                <w:szCs w:val="20"/>
              </w:rPr>
            </w:pPr>
            <w:r>
              <w:rPr>
                <w:rFonts w:asciiTheme="minorHAnsi" w:hAnsiTheme="minorHAnsi" w:cs="Martel Sans"/>
                <w:b/>
                <w:sz w:val="20"/>
                <w:szCs w:val="20"/>
              </w:rPr>
              <w:t>597,98</w:t>
            </w:r>
          </w:p>
        </w:tc>
      </w:tr>
    </w:tbl>
    <w:p w14:paraId="6D09F2C8" w14:textId="77777777" w:rsidR="00713338" w:rsidRDefault="00713338" w:rsidP="00713338">
      <w:pPr>
        <w:spacing w:after="120" w:line="240" w:lineRule="auto"/>
        <w:jc w:val="both"/>
        <w:rPr>
          <w:rFonts w:asciiTheme="minorHAnsi" w:hAnsiTheme="minorHAnsi" w:cs="Martel Sans"/>
          <w:sz w:val="18"/>
          <w:szCs w:val="18"/>
        </w:rPr>
      </w:pPr>
      <w:r w:rsidRPr="00446ECF">
        <w:rPr>
          <w:rFonts w:asciiTheme="minorHAnsi" w:hAnsiTheme="minorHAnsi" w:cs="Martel Sans"/>
          <w:sz w:val="18"/>
          <w:szCs w:val="18"/>
        </w:rPr>
        <w:t xml:space="preserve">Zdroj: </w:t>
      </w:r>
      <w:r>
        <w:rPr>
          <w:rFonts w:asciiTheme="minorHAnsi" w:hAnsiTheme="minorHAnsi" w:cs="Martel Sans"/>
          <w:sz w:val="18"/>
          <w:szCs w:val="18"/>
        </w:rPr>
        <w:t>Vlastné spracovanie</w:t>
      </w:r>
    </w:p>
    <w:p w14:paraId="6D09F2C9" w14:textId="77777777" w:rsidR="00713338" w:rsidRDefault="00713338" w:rsidP="00713338">
      <w:pPr>
        <w:pStyle w:val="Nadpis1"/>
      </w:pPr>
      <w:bookmarkStart w:id="12" w:name="_Toc484698436"/>
      <w:bookmarkStart w:id="13" w:name="_Toc484698535"/>
      <w:bookmarkStart w:id="14" w:name="_Toc484702501"/>
      <w:r>
        <w:t>Podmienky oprávnenosti a uplatnenia zjednodušeného vykazovania výdavkov</w:t>
      </w:r>
      <w:bookmarkEnd w:id="12"/>
      <w:bookmarkEnd w:id="13"/>
      <w:bookmarkEnd w:id="14"/>
    </w:p>
    <w:p w14:paraId="6D09F2CA" w14:textId="77777777" w:rsidR="00713338" w:rsidRPr="00357CD3" w:rsidRDefault="00713338" w:rsidP="00713338">
      <w:pPr>
        <w:spacing w:before="60" w:after="60"/>
        <w:jc w:val="both"/>
        <w:rPr>
          <w:rFonts w:asciiTheme="minorHAnsi" w:hAnsiTheme="minorHAnsi" w:cs="Martel Sans"/>
          <w:sz w:val="20"/>
          <w:szCs w:val="20"/>
        </w:rPr>
      </w:pPr>
      <w:r w:rsidRPr="00357CD3">
        <w:rPr>
          <w:rFonts w:asciiTheme="minorHAnsi" w:hAnsiTheme="minorHAnsi" w:cs="Martel Sans"/>
          <w:sz w:val="20"/>
          <w:szCs w:val="20"/>
        </w:rPr>
        <w:t xml:space="preserve">Oprávnené mesačné náklady </w:t>
      </w:r>
      <w:r>
        <w:rPr>
          <w:rFonts w:asciiTheme="minorHAnsi" w:hAnsiTheme="minorHAnsi" w:cs="Martel Sans"/>
          <w:sz w:val="20"/>
          <w:szCs w:val="20"/>
        </w:rPr>
        <w:t>prijímateľa</w:t>
      </w:r>
      <w:r w:rsidRPr="00357CD3">
        <w:rPr>
          <w:rFonts w:asciiTheme="minorHAnsi" w:hAnsiTheme="minorHAnsi" w:cs="Martel Sans"/>
          <w:sz w:val="20"/>
          <w:szCs w:val="20"/>
        </w:rPr>
        <w:t xml:space="preserve"> na </w:t>
      </w:r>
      <w:r>
        <w:rPr>
          <w:rFonts w:asciiTheme="minorHAnsi" w:hAnsiTheme="minorHAnsi" w:cs="Martel Sans"/>
          <w:sz w:val="20"/>
          <w:szCs w:val="20"/>
        </w:rPr>
        <w:t>AOZ</w:t>
      </w:r>
      <w:r w:rsidRPr="00357CD3">
        <w:rPr>
          <w:rFonts w:asciiTheme="minorHAnsi" w:hAnsiTheme="minorHAnsi" w:cs="Martel Sans"/>
          <w:sz w:val="20"/>
          <w:szCs w:val="20"/>
        </w:rPr>
        <w:t xml:space="preserve"> sú násobkom jednotkovej ceny na pracovné miesto a počtu pracovných miest zamestnancov na pozícii AOZ v pracovnom pomere na ustanovený týždenný pracovný čas, pričom </w:t>
      </w:r>
      <w:r w:rsidRPr="003C3F99">
        <w:rPr>
          <w:rFonts w:asciiTheme="minorHAnsi" w:hAnsiTheme="minorHAnsi" w:cs="Martel Sans"/>
          <w:color w:val="000000" w:themeColor="text1"/>
          <w:sz w:val="20"/>
          <w:szCs w:val="20"/>
        </w:rPr>
        <w:t xml:space="preserve">výkon </w:t>
      </w:r>
      <w:r w:rsidRPr="003C3F99">
        <w:rPr>
          <w:rFonts w:asciiTheme="minorHAnsi" w:hAnsiTheme="minorHAnsi" w:cstheme="minorHAnsi"/>
          <w:color w:val="000000" w:themeColor="text1"/>
          <w:sz w:val="20"/>
          <w:szCs w:val="24"/>
        </w:rPr>
        <w:t>zdravotnej mediácie v prostredí MRK na komunitnej úrovni</w:t>
      </w:r>
      <w:r w:rsidRPr="003C3F99">
        <w:rPr>
          <w:rFonts w:asciiTheme="minorHAnsi" w:hAnsiTheme="minorHAnsi" w:cs="Martel Sans"/>
          <w:color w:val="000000" w:themeColor="text1"/>
          <w:sz w:val="20"/>
          <w:szCs w:val="20"/>
        </w:rPr>
        <w:t xml:space="preserve"> musí </w:t>
      </w:r>
      <w:r w:rsidRPr="00357CD3">
        <w:rPr>
          <w:rFonts w:asciiTheme="minorHAnsi" w:hAnsiTheme="minorHAnsi" w:cs="Martel Sans"/>
          <w:sz w:val="20"/>
          <w:szCs w:val="20"/>
        </w:rPr>
        <w:t>byť poskytovaný v požadovanom rozsahu fondu pracovného času v danom kalendárnom mesiaci.</w:t>
      </w:r>
    </w:p>
    <w:p w14:paraId="6D09F2CB" w14:textId="77777777" w:rsidR="00713338" w:rsidRPr="00357CD3" w:rsidRDefault="00713338" w:rsidP="00713338">
      <w:pPr>
        <w:spacing w:before="60" w:after="60"/>
        <w:jc w:val="both"/>
        <w:rPr>
          <w:rFonts w:asciiTheme="minorHAnsi" w:hAnsiTheme="minorHAnsi" w:cs="Martel Sans"/>
          <w:sz w:val="20"/>
          <w:szCs w:val="20"/>
        </w:rPr>
      </w:pPr>
      <w:r w:rsidRPr="00357CD3">
        <w:rPr>
          <w:rFonts w:asciiTheme="minorHAnsi" w:hAnsiTheme="minorHAnsi" w:cs="Martel Sans"/>
          <w:sz w:val="20"/>
          <w:szCs w:val="20"/>
        </w:rPr>
        <w:t xml:space="preserve">Jednotková cena za daný kalendárny mesiac na pracovné miesto </w:t>
      </w:r>
      <w:r>
        <w:rPr>
          <w:rFonts w:asciiTheme="minorHAnsi" w:hAnsiTheme="minorHAnsi" w:cs="Martel Sans"/>
          <w:sz w:val="20"/>
          <w:szCs w:val="20"/>
        </w:rPr>
        <w:t>AOZ</w:t>
      </w:r>
      <w:r w:rsidRPr="00357CD3">
        <w:rPr>
          <w:rFonts w:asciiTheme="minorHAnsi" w:hAnsiTheme="minorHAnsi" w:cs="Martel Sans"/>
          <w:sz w:val="20"/>
          <w:szCs w:val="20"/>
        </w:rPr>
        <w:t xml:space="preserve"> bude zo strany SO uhradená v súlade s podmienkami </w:t>
      </w:r>
      <w:r>
        <w:rPr>
          <w:rFonts w:asciiTheme="minorHAnsi" w:hAnsiTheme="minorHAnsi" w:cs="Martel Sans"/>
          <w:sz w:val="20"/>
          <w:szCs w:val="20"/>
        </w:rPr>
        <w:t>Zmluvy o NFP</w:t>
      </w:r>
      <w:r w:rsidRPr="00357CD3">
        <w:rPr>
          <w:rFonts w:asciiTheme="minorHAnsi" w:hAnsiTheme="minorHAnsi" w:cs="Martel Sans"/>
          <w:sz w:val="20"/>
          <w:szCs w:val="20"/>
        </w:rPr>
        <w:t xml:space="preserve"> </w:t>
      </w:r>
      <w:r>
        <w:rPr>
          <w:rFonts w:asciiTheme="minorHAnsi" w:hAnsiTheme="minorHAnsi" w:cs="Martel Sans"/>
          <w:sz w:val="20"/>
          <w:szCs w:val="20"/>
        </w:rPr>
        <w:t>a súčasne pri splnení nasledujúcich podmienok</w:t>
      </w:r>
      <w:r w:rsidRPr="00357CD3">
        <w:rPr>
          <w:rFonts w:asciiTheme="minorHAnsi" w:hAnsiTheme="minorHAnsi" w:cs="Martel Sans"/>
          <w:sz w:val="20"/>
          <w:szCs w:val="20"/>
        </w:rPr>
        <w:t>:</w:t>
      </w:r>
    </w:p>
    <w:p w14:paraId="6D09F2CC" w14:textId="77777777" w:rsidR="00713338" w:rsidRPr="00EA7618" w:rsidRDefault="00713338" w:rsidP="00713338">
      <w:pPr>
        <w:pStyle w:val="Odsekzoznamu"/>
        <w:numPr>
          <w:ilvl w:val="0"/>
          <w:numId w:val="10"/>
        </w:numPr>
        <w:spacing w:before="60" w:after="60"/>
        <w:ind w:left="426" w:hanging="284"/>
        <w:contextualSpacing w:val="0"/>
        <w:jc w:val="both"/>
        <w:rPr>
          <w:rFonts w:asciiTheme="minorHAnsi" w:hAnsiTheme="minorHAnsi" w:cs="Martel Sans"/>
          <w:sz w:val="20"/>
          <w:szCs w:val="20"/>
        </w:rPr>
      </w:pPr>
      <w:r w:rsidRPr="00EA7618">
        <w:rPr>
          <w:rFonts w:asciiTheme="minorHAnsi" w:hAnsiTheme="minorHAnsi" w:cs="Martel Sans"/>
          <w:sz w:val="20"/>
          <w:szCs w:val="20"/>
        </w:rPr>
        <w:t>prijímateľ postupuje pri zamestnávaní zamestnancov v</w:t>
      </w:r>
      <w:r w:rsidRPr="00AF25CF">
        <w:rPr>
          <w:rFonts w:asciiTheme="minorHAnsi" w:hAnsiTheme="minorHAnsi" w:cs="Martel Sans"/>
          <w:sz w:val="20"/>
          <w:szCs w:val="20"/>
        </w:rPr>
        <w:t xml:space="preserve"> </w:t>
      </w:r>
      <w:r w:rsidRPr="00EA7618">
        <w:rPr>
          <w:rFonts w:asciiTheme="minorHAnsi" w:hAnsiTheme="minorHAnsi" w:cs="Martel Sans"/>
          <w:sz w:val="20"/>
          <w:szCs w:val="20"/>
        </w:rPr>
        <w:t>súlade so zákonníkom práce</w:t>
      </w:r>
      <w:r w:rsidRPr="00AF25CF">
        <w:rPr>
          <w:rFonts w:asciiTheme="minorHAnsi" w:hAnsiTheme="minorHAnsi" w:cs="Martel Sans"/>
          <w:sz w:val="20"/>
          <w:szCs w:val="20"/>
        </w:rPr>
        <w:t xml:space="preserve"> </w:t>
      </w:r>
      <w:r w:rsidRPr="00EA7618">
        <w:rPr>
          <w:rFonts w:asciiTheme="minorHAnsi" w:hAnsiTheme="minorHAnsi" w:cs="Martel Sans"/>
          <w:sz w:val="20"/>
          <w:szCs w:val="20"/>
        </w:rPr>
        <w:t>a</w:t>
      </w:r>
      <w:r w:rsidRPr="00AF25CF">
        <w:rPr>
          <w:rFonts w:asciiTheme="minorHAnsi" w:hAnsiTheme="minorHAnsi" w:cs="Martel Sans"/>
          <w:sz w:val="20"/>
          <w:szCs w:val="20"/>
        </w:rPr>
        <w:t xml:space="preserve"> </w:t>
      </w:r>
      <w:r w:rsidRPr="00EA7618">
        <w:rPr>
          <w:rFonts w:asciiTheme="minorHAnsi" w:hAnsiTheme="minorHAnsi" w:cs="Martel Sans"/>
          <w:sz w:val="20"/>
          <w:szCs w:val="20"/>
        </w:rPr>
        <w:t>ostatnou platnou legislatívou</w:t>
      </w:r>
      <w:r>
        <w:rPr>
          <w:rFonts w:asciiTheme="minorHAnsi" w:hAnsiTheme="minorHAnsi" w:cs="Martel Sans"/>
          <w:sz w:val="20"/>
          <w:szCs w:val="20"/>
        </w:rPr>
        <w:t>,</w:t>
      </w:r>
    </w:p>
    <w:p w14:paraId="6D09F2CD" w14:textId="77777777" w:rsidR="00713338" w:rsidRPr="00537F8F" w:rsidRDefault="00713338" w:rsidP="00713338">
      <w:pPr>
        <w:pStyle w:val="Odsekzoznamu"/>
        <w:numPr>
          <w:ilvl w:val="0"/>
          <w:numId w:val="10"/>
        </w:numPr>
        <w:spacing w:before="60" w:after="60"/>
        <w:ind w:left="426" w:hanging="284"/>
        <w:contextualSpacing w:val="0"/>
        <w:jc w:val="both"/>
        <w:rPr>
          <w:rFonts w:asciiTheme="minorHAnsi" w:hAnsiTheme="minorHAnsi" w:cs="Martel Sans"/>
          <w:sz w:val="20"/>
          <w:szCs w:val="20"/>
        </w:rPr>
      </w:pPr>
      <w:r>
        <w:rPr>
          <w:rFonts w:asciiTheme="minorHAnsi" w:hAnsiTheme="minorHAnsi" w:cs="Martel Sans"/>
          <w:sz w:val="20"/>
          <w:szCs w:val="20"/>
        </w:rPr>
        <w:t>p</w:t>
      </w:r>
      <w:r w:rsidRPr="00090A0C">
        <w:rPr>
          <w:rFonts w:asciiTheme="minorHAnsi" w:hAnsiTheme="minorHAnsi" w:cs="Martel Sans"/>
          <w:sz w:val="20"/>
          <w:szCs w:val="20"/>
        </w:rPr>
        <w:t>rijímateľ je povinný uzatvoriť pracovnú zmluvu</w:t>
      </w:r>
      <w:r w:rsidRPr="000510F3">
        <w:rPr>
          <w:rFonts w:asciiTheme="minorHAnsi" w:hAnsiTheme="minorHAnsi" w:cs="Martel Sans"/>
          <w:sz w:val="20"/>
          <w:szCs w:val="20"/>
        </w:rPr>
        <w:t xml:space="preserve"> </w:t>
      </w:r>
      <w:r>
        <w:rPr>
          <w:rFonts w:asciiTheme="minorHAnsi" w:hAnsiTheme="minorHAnsi" w:cs="Martel Sans"/>
          <w:sz w:val="20"/>
          <w:szCs w:val="20"/>
        </w:rPr>
        <w:t>(hlavný pracovný pomer)</w:t>
      </w:r>
      <w:r w:rsidRPr="00090A0C">
        <w:rPr>
          <w:rFonts w:asciiTheme="minorHAnsi" w:hAnsiTheme="minorHAnsi" w:cs="Martel Sans"/>
          <w:sz w:val="20"/>
          <w:szCs w:val="20"/>
        </w:rPr>
        <w:t xml:space="preserve"> resp. upraviť pracovnoprávny vzťah s AOZ tak, aby CCP nebola nižšia ako stanovená výška CCP v danom roku v súlade s touto ŠSJN.</w:t>
      </w:r>
      <w:r>
        <w:rPr>
          <w:rStyle w:val="Odkaznapoznmkupodiarou"/>
          <w:rFonts w:asciiTheme="minorHAnsi" w:hAnsiTheme="minorHAnsi" w:cs="Martel Sans"/>
          <w:sz w:val="20"/>
          <w:szCs w:val="20"/>
        </w:rPr>
        <w:footnoteReference w:id="6"/>
      </w:r>
    </w:p>
    <w:p w14:paraId="6D09F2CE" w14:textId="77777777" w:rsidR="00713338" w:rsidRPr="00357CD3" w:rsidRDefault="00713338" w:rsidP="00713338">
      <w:pPr>
        <w:pStyle w:val="Odsekzoznamu"/>
        <w:numPr>
          <w:ilvl w:val="0"/>
          <w:numId w:val="10"/>
        </w:numPr>
        <w:spacing w:before="60" w:after="60"/>
        <w:ind w:left="426" w:hanging="284"/>
        <w:contextualSpacing w:val="0"/>
        <w:jc w:val="both"/>
        <w:rPr>
          <w:rFonts w:asciiTheme="minorHAnsi" w:hAnsiTheme="minorHAnsi" w:cs="Martel Sans"/>
          <w:sz w:val="20"/>
          <w:szCs w:val="20"/>
        </w:rPr>
      </w:pPr>
      <w:r w:rsidRPr="008002C4">
        <w:rPr>
          <w:rFonts w:asciiTheme="minorHAnsi" w:hAnsiTheme="minorHAnsi" w:cs="Martel Sans"/>
          <w:sz w:val="20"/>
          <w:szCs w:val="20"/>
        </w:rPr>
        <w:t>AOZ odpracoval najmenej 15 pracovných dní mesačne</w:t>
      </w:r>
      <w:r>
        <w:rPr>
          <w:rFonts w:asciiTheme="minorHAnsi" w:hAnsiTheme="minorHAnsi" w:cs="Martel Sans"/>
          <w:sz w:val="20"/>
          <w:szCs w:val="20"/>
        </w:rPr>
        <w:t xml:space="preserve"> (</w:t>
      </w:r>
      <w:r w:rsidRPr="008002C4">
        <w:rPr>
          <w:rFonts w:asciiTheme="minorHAnsi" w:hAnsiTheme="minorHAnsi" w:cs="Martel Sans"/>
          <w:sz w:val="20"/>
          <w:szCs w:val="20"/>
        </w:rPr>
        <w:t>pričom čerpanie riadnej dovolenky a čas, v ktorom sa zamestnanec zúčastňuje školenia alebo iného výkonu práce, na podnet alebo so súhlasom</w:t>
      </w:r>
      <w:r>
        <w:rPr>
          <w:rFonts w:asciiTheme="minorHAnsi" w:hAnsiTheme="minorHAnsi" w:cs="Martel Sans"/>
          <w:sz w:val="20"/>
          <w:szCs w:val="20"/>
        </w:rPr>
        <w:t xml:space="preserve"> zamestnávateľa sa považuje za výkon činnosti AOZ),</w:t>
      </w:r>
    </w:p>
    <w:p w14:paraId="6D09F2CF" w14:textId="77777777" w:rsidR="00713338" w:rsidRDefault="00713338" w:rsidP="00713338">
      <w:pPr>
        <w:pStyle w:val="Odsekzoznamu"/>
        <w:numPr>
          <w:ilvl w:val="0"/>
          <w:numId w:val="10"/>
        </w:numPr>
        <w:spacing w:before="60" w:after="60"/>
        <w:ind w:left="426" w:hanging="284"/>
        <w:contextualSpacing w:val="0"/>
        <w:jc w:val="both"/>
        <w:rPr>
          <w:rFonts w:asciiTheme="minorHAnsi" w:hAnsiTheme="minorHAnsi" w:cs="Martel Sans"/>
          <w:sz w:val="20"/>
          <w:szCs w:val="20"/>
        </w:rPr>
      </w:pPr>
      <w:r w:rsidRPr="00B65F86">
        <w:rPr>
          <w:rFonts w:asciiTheme="minorHAnsi" w:hAnsiTheme="minorHAnsi" w:cs="Martel Sans"/>
          <w:sz w:val="20"/>
          <w:szCs w:val="20"/>
        </w:rPr>
        <w:lastRenderedPageBreak/>
        <w:t>AOZ má uzatvorenú pracovnú zmluvu ktorá pokrýva celé obdobie príslušného kalendárneho mesiaca t.j. zmluva je platná a účinná najneskôr od 1. dňa v mesiaci kedy zamestnanec začne vykonávať prácu,</w:t>
      </w:r>
    </w:p>
    <w:p w14:paraId="6D09F2D0" w14:textId="77777777" w:rsidR="00A95FED" w:rsidRPr="00B65F86" w:rsidRDefault="00A95FED" w:rsidP="00A95FED">
      <w:pPr>
        <w:pStyle w:val="Odsekzoznamu"/>
        <w:numPr>
          <w:ilvl w:val="0"/>
          <w:numId w:val="10"/>
        </w:numPr>
        <w:spacing w:before="60" w:after="60"/>
        <w:ind w:left="426" w:hanging="284"/>
        <w:contextualSpacing w:val="0"/>
        <w:jc w:val="both"/>
        <w:rPr>
          <w:rFonts w:asciiTheme="minorHAnsi" w:hAnsiTheme="minorHAnsi" w:cs="Martel Sans"/>
          <w:sz w:val="20"/>
          <w:szCs w:val="20"/>
        </w:rPr>
      </w:pPr>
      <w:r w:rsidRPr="00B65F86">
        <w:rPr>
          <w:rFonts w:asciiTheme="minorHAnsi" w:hAnsiTheme="minorHAnsi" w:cs="Martel Sans"/>
          <w:sz w:val="20"/>
          <w:szCs w:val="20"/>
        </w:rPr>
        <w:t>výkon zdravotnej</w:t>
      </w:r>
      <w:r w:rsidRPr="00B65F86">
        <w:rPr>
          <w:rFonts w:asciiTheme="minorHAnsi" w:hAnsiTheme="minorHAnsi" w:cstheme="minorHAnsi"/>
          <w:color w:val="000000" w:themeColor="text1"/>
          <w:sz w:val="20"/>
          <w:szCs w:val="24"/>
        </w:rPr>
        <w:t xml:space="preserve"> </w:t>
      </w:r>
      <w:r w:rsidRPr="00B65F86">
        <w:rPr>
          <w:rFonts w:asciiTheme="minorHAnsi" w:hAnsiTheme="minorHAnsi" w:cs="Martel Sans"/>
          <w:sz w:val="20"/>
          <w:szCs w:val="20"/>
        </w:rPr>
        <w:t>mediácie</w:t>
      </w:r>
      <w:r w:rsidRPr="00B65F86">
        <w:rPr>
          <w:rFonts w:asciiTheme="minorHAnsi" w:hAnsiTheme="minorHAnsi" w:cstheme="minorHAnsi"/>
          <w:color w:val="000000" w:themeColor="text1"/>
          <w:sz w:val="20"/>
          <w:szCs w:val="24"/>
        </w:rPr>
        <w:t xml:space="preserve"> v prostredí MRK na komunitnej úrovni AOZ</w:t>
      </w:r>
      <w:r w:rsidRPr="00B65F86">
        <w:rPr>
          <w:rFonts w:asciiTheme="minorHAnsi" w:hAnsiTheme="minorHAnsi" w:cs="Martel Sans"/>
          <w:sz w:val="20"/>
          <w:szCs w:val="20"/>
        </w:rPr>
        <w:t xml:space="preserve"> bol zdokladovaný minimálne nasledovnými dokumentmi</w:t>
      </w:r>
      <w:r>
        <w:rPr>
          <w:rStyle w:val="Odkaznapoznmkupodiarou"/>
          <w:rFonts w:asciiTheme="minorHAnsi" w:hAnsiTheme="minorHAnsi" w:cs="Martel Sans"/>
          <w:sz w:val="20"/>
          <w:szCs w:val="20"/>
        </w:rPr>
        <w:footnoteReference w:id="7"/>
      </w:r>
      <w:r w:rsidRPr="00B65F86">
        <w:rPr>
          <w:rFonts w:asciiTheme="minorHAnsi" w:hAnsiTheme="minorHAnsi" w:cs="Martel Sans"/>
          <w:sz w:val="20"/>
          <w:szCs w:val="20"/>
        </w:rPr>
        <w:t>:</w:t>
      </w:r>
    </w:p>
    <w:p w14:paraId="6D09F2D1" w14:textId="77777777" w:rsidR="00A95FED" w:rsidRPr="00A95FED" w:rsidRDefault="00A95FED" w:rsidP="00A95FED">
      <w:pPr>
        <w:pStyle w:val="Odsekzoznamu"/>
        <w:numPr>
          <w:ilvl w:val="1"/>
          <w:numId w:val="12"/>
        </w:numPr>
        <w:ind w:left="709" w:hanging="283"/>
        <w:rPr>
          <w:rFonts w:asciiTheme="minorHAnsi" w:hAnsiTheme="minorHAnsi"/>
          <w:sz w:val="20"/>
        </w:rPr>
      </w:pPr>
      <w:r w:rsidRPr="00A95FED">
        <w:rPr>
          <w:rFonts w:asciiTheme="minorHAnsi" w:hAnsiTheme="minorHAnsi"/>
          <w:sz w:val="20"/>
        </w:rPr>
        <w:t>záznam KAOZ o výkone zdravotnej mediácie v prostredí MRK na komunitnej úrovni AOZ,</w:t>
      </w:r>
    </w:p>
    <w:p w14:paraId="6D09F2D3" w14:textId="77777777" w:rsidR="00713338" w:rsidRPr="00492387" w:rsidRDefault="00A95FED" w:rsidP="00492387">
      <w:pPr>
        <w:pStyle w:val="Odsekzoznamu"/>
        <w:numPr>
          <w:ilvl w:val="1"/>
          <w:numId w:val="12"/>
        </w:numPr>
        <w:spacing w:after="120"/>
        <w:ind w:left="709" w:hanging="283"/>
        <w:contextualSpacing w:val="0"/>
        <w:rPr>
          <w:rFonts w:asciiTheme="minorHAnsi" w:hAnsiTheme="minorHAnsi"/>
          <w:sz w:val="20"/>
        </w:rPr>
      </w:pPr>
      <w:r w:rsidRPr="00492387">
        <w:rPr>
          <w:rFonts w:asciiTheme="minorHAnsi" w:hAnsiTheme="minorHAnsi"/>
          <w:sz w:val="20"/>
        </w:rPr>
        <w:t>aktuálny zoznam AOZ.</w:t>
      </w:r>
    </w:p>
    <w:p w14:paraId="6D09F2D4" w14:textId="2BEEECE5" w:rsidR="00A95FED" w:rsidRPr="00FE7BB5" w:rsidRDefault="00A95FED" w:rsidP="00A95FED">
      <w:pPr>
        <w:pStyle w:val="Odsekzoznamu"/>
        <w:numPr>
          <w:ilvl w:val="0"/>
          <w:numId w:val="10"/>
        </w:numPr>
        <w:spacing w:before="60" w:after="60"/>
        <w:ind w:left="426" w:hanging="284"/>
        <w:contextualSpacing w:val="0"/>
        <w:jc w:val="both"/>
        <w:rPr>
          <w:rFonts w:asciiTheme="minorHAnsi" w:hAnsiTheme="minorHAnsi" w:cs="Martel Sans"/>
          <w:sz w:val="20"/>
          <w:szCs w:val="20"/>
        </w:rPr>
      </w:pPr>
      <w:r w:rsidRPr="00357CD3">
        <w:rPr>
          <w:rFonts w:asciiTheme="minorHAnsi" w:hAnsiTheme="minorHAnsi" w:cs="Martel Sans"/>
          <w:sz w:val="20"/>
          <w:szCs w:val="20"/>
        </w:rPr>
        <w:t xml:space="preserve">prijímateľ </w:t>
      </w:r>
      <w:r>
        <w:rPr>
          <w:rFonts w:asciiTheme="minorHAnsi" w:hAnsiTheme="minorHAnsi" w:cs="Martel Sans"/>
          <w:sz w:val="20"/>
          <w:szCs w:val="20"/>
        </w:rPr>
        <w:t xml:space="preserve">zabezpečil vypracovanie </w:t>
      </w:r>
      <w:r w:rsidR="00363523">
        <w:rPr>
          <w:rFonts w:asciiTheme="minorHAnsi" w:hAnsiTheme="minorHAnsi" w:cs="Martel Sans"/>
          <w:sz w:val="20"/>
          <w:szCs w:val="20"/>
        </w:rPr>
        <w:t>Sumarizačného</w:t>
      </w:r>
      <w:r w:rsidRPr="00357CD3">
        <w:rPr>
          <w:rFonts w:asciiTheme="minorHAnsi" w:hAnsiTheme="minorHAnsi" w:cs="Martel Sans"/>
          <w:sz w:val="20"/>
          <w:szCs w:val="20"/>
        </w:rPr>
        <w:t xml:space="preserve"> hárk</w:t>
      </w:r>
      <w:r>
        <w:rPr>
          <w:rFonts w:asciiTheme="minorHAnsi" w:hAnsiTheme="minorHAnsi" w:cs="Martel Sans"/>
          <w:sz w:val="20"/>
          <w:szCs w:val="20"/>
        </w:rPr>
        <w:t>u</w:t>
      </w:r>
      <w:r w:rsidRPr="00357CD3">
        <w:rPr>
          <w:rFonts w:asciiTheme="minorHAnsi" w:hAnsiTheme="minorHAnsi" w:cs="Martel Sans"/>
          <w:sz w:val="20"/>
          <w:szCs w:val="20"/>
        </w:rPr>
        <w:t xml:space="preserve"> </w:t>
      </w:r>
      <w:r>
        <w:rPr>
          <w:rFonts w:asciiTheme="minorHAnsi" w:hAnsiTheme="minorHAnsi" w:cs="Martel Sans"/>
          <w:sz w:val="20"/>
          <w:szCs w:val="20"/>
        </w:rPr>
        <w:t xml:space="preserve">(príloha č.1 tejto ŠSJN) s uvedením </w:t>
      </w:r>
      <w:r w:rsidRPr="00357CD3">
        <w:rPr>
          <w:rFonts w:asciiTheme="minorHAnsi" w:hAnsiTheme="minorHAnsi" w:cs="Martel Sans"/>
          <w:sz w:val="20"/>
          <w:szCs w:val="20"/>
        </w:rPr>
        <w:t>agregovan</w:t>
      </w:r>
      <w:r>
        <w:rPr>
          <w:rFonts w:asciiTheme="minorHAnsi" w:hAnsiTheme="minorHAnsi" w:cs="Martel Sans"/>
          <w:sz w:val="20"/>
          <w:szCs w:val="20"/>
        </w:rPr>
        <w:t>ých</w:t>
      </w:r>
      <w:r w:rsidRPr="00357CD3">
        <w:rPr>
          <w:rFonts w:asciiTheme="minorHAnsi" w:hAnsiTheme="minorHAnsi" w:cs="Martel Sans"/>
          <w:sz w:val="20"/>
          <w:szCs w:val="20"/>
        </w:rPr>
        <w:t xml:space="preserve"> údaj</w:t>
      </w:r>
      <w:r>
        <w:rPr>
          <w:rFonts w:asciiTheme="minorHAnsi" w:hAnsiTheme="minorHAnsi" w:cs="Martel Sans"/>
          <w:sz w:val="20"/>
          <w:szCs w:val="20"/>
        </w:rPr>
        <w:t>ov</w:t>
      </w:r>
      <w:r w:rsidRPr="00357CD3">
        <w:rPr>
          <w:rFonts w:asciiTheme="minorHAnsi" w:hAnsiTheme="minorHAnsi" w:cs="Martel Sans"/>
          <w:sz w:val="20"/>
          <w:szCs w:val="20"/>
        </w:rPr>
        <w:t xml:space="preserve"> z dokladov uvedených v </w:t>
      </w:r>
      <w:r w:rsidRPr="00FE7BB5">
        <w:rPr>
          <w:rFonts w:asciiTheme="minorHAnsi" w:hAnsiTheme="minorHAnsi" w:cs="Martel Sans"/>
          <w:sz w:val="20"/>
          <w:szCs w:val="20"/>
        </w:rPr>
        <w:t>bode e) tejto kapitoly,</w:t>
      </w:r>
    </w:p>
    <w:p w14:paraId="6D09F2D5" w14:textId="77777777" w:rsidR="00A95FED" w:rsidRPr="00357CD3" w:rsidRDefault="00A95FED" w:rsidP="00A95FED">
      <w:pPr>
        <w:pStyle w:val="Odsekzoznamu"/>
        <w:numPr>
          <w:ilvl w:val="0"/>
          <w:numId w:val="10"/>
        </w:numPr>
        <w:spacing w:before="60" w:after="60"/>
        <w:ind w:left="426" w:hanging="284"/>
        <w:contextualSpacing w:val="0"/>
        <w:jc w:val="both"/>
        <w:rPr>
          <w:rFonts w:asciiTheme="minorHAnsi" w:hAnsiTheme="minorHAnsi" w:cs="Martel Sans"/>
          <w:sz w:val="20"/>
          <w:szCs w:val="20"/>
        </w:rPr>
      </w:pPr>
      <w:r w:rsidRPr="00357CD3">
        <w:rPr>
          <w:rFonts w:asciiTheme="minorHAnsi" w:hAnsiTheme="minorHAnsi" w:cs="Martel Sans"/>
          <w:sz w:val="20"/>
          <w:szCs w:val="20"/>
        </w:rPr>
        <w:t xml:space="preserve">výkon </w:t>
      </w:r>
      <w:r w:rsidRPr="00B65F86">
        <w:rPr>
          <w:rFonts w:asciiTheme="minorHAnsi" w:hAnsiTheme="minorHAnsi" w:cs="Martel Sans"/>
          <w:sz w:val="20"/>
          <w:szCs w:val="20"/>
        </w:rPr>
        <w:t>zdravotnej</w:t>
      </w:r>
      <w:r w:rsidRPr="003C3F99">
        <w:rPr>
          <w:rFonts w:asciiTheme="minorHAnsi" w:hAnsiTheme="minorHAnsi" w:cstheme="minorHAnsi"/>
          <w:color w:val="000000" w:themeColor="text1"/>
          <w:sz w:val="20"/>
          <w:szCs w:val="24"/>
        </w:rPr>
        <w:t xml:space="preserve"> mediácie v prostredí MRK na komunitnej úrovni</w:t>
      </w:r>
      <w:r>
        <w:rPr>
          <w:rFonts w:asciiTheme="minorHAnsi" w:hAnsiTheme="minorHAnsi" w:cstheme="minorHAnsi"/>
          <w:color w:val="000000" w:themeColor="text1"/>
          <w:sz w:val="20"/>
          <w:szCs w:val="24"/>
        </w:rPr>
        <w:t xml:space="preserve"> AOZ</w:t>
      </w:r>
      <w:r w:rsidRPr="00357CD3">
        <w:rPr>
          <w:rFonts w:asciiTheme="minorHAnsi" w:hAnsiTheme="minorHAnsi" w:cs="Martel Sans"/>
          <w:sz w:val="20"/>
          <w:szCs w:val="20"/>
        </w:rPr>
        <w:t xml:space="preserve"> bol potvrdený po ukončení daného kalendárneho mesiaca </w:t>
      </w:r>
      <w:r>
        <w:rPr>
          <w:rFonts w:asciiTheme="minorHAnsi" w:hAnsiTheme="minorHAnsi" w:cs="Martel Sans"/>
          <w:sz w:val="20"/>
          <w:szCs w:val="20"/>
        </w:rPr>
        <w:t>KAOZ</w:t>
      </w:r>
      <w:r w:rsidRPr="00357CD3">
        <w:rPr>
          <w:rFonts w:asciiTheme="minorHAnsi" w:hAnsiTheme="minorHAnsi" w:cs="Martel Sans"/>
          <w:sz w:val="20"/>
          <w:szCs w:val="20"/>
        </w:rPr>
        <w:t xml:space="preserve"> na základe nasledujúcich dokumentov:</w:t>
      </w:r>
    </w:p>
    <w:p w14:paraId="6D09F2D6" w14:textId="77777777" w:rsidR="00A95FED" w:rsidRPr="00357CD3" w:rsidRDefault="00A95FED" w:rsidP="00A95FED">
      <w:pPr>
        <w:pStyle w:val="Odsekzoznamu"/>
        <w:numPr>
          <w:ilvl w:val="0"/>
          <w:numId w:val="13"/>
        </w:numPr>
        <w:spacing w:before="60" w:after="60"/>
        <w:ind w:left="709" w:hanging="283"/>
        <w:contextualSpacing w:val="0"/>
        <w:jc w:val="both"/>
        <w:rPr>
          <w:rFonts w:asciiTheme="minorHAnsi" w:hAnsiTheme="minorHAnsi" w:cs="Martel Sans"/>
          <w:sz w:val="20"/>
          <w:szCs w:val="20"/>
        </w:rPr>
      </w:pPr>
      <w:r>
        <w:rPr>
          <w:rFonts w:asciiTheme="minorHAnsi" w:hAnsiTheme="minorHAnsi" w:cs="Martel Sans"/>
          <w:sz w:val="20"/>
          <w:szCs w:val="20"/>
        </w:rPr>
        <w:t>d</w:t>
      </w:r>
      <w:r w:rsidRPr="00357CD3">
        <w:rPr>
          <w:rFonts w:asciiTheme="minorHAnsi" w:hAnsiTheme="minorHAnsi" w:cs="Martel Sans"/>
          <w:sz w:val="20"/>
          <w:szCs w:val="20"/>
        </w:rPr>
        <w:t>enník intervencií, ak je relevantné</w:t>
      </w:r>
      <w:r>
        <w:rPr>
          <w:rFonts w:asciiTheme="minorHAnsi" w:hAnsiTheme="minorHAnsi" w:cs="Martel Sans"/>
          <w:sz w:val="20"/>
          <w:szCs w:val="20"/>
        </w:rPr>
        <w:t>,</w:t>
      </w:r>
    </w:p>
    <w:p w14:paraId="6D09F2D7" w14:textId="77777777" w:rsidR="00A95FED" w:rsidRPr="00B65F86" w:rsidRDefault="00A95FED" w:rsidP="00A95FED">
      <w:pPr>
        <w:pStyle w:val="Odsekzoznamu"/>
        <w:numPr>
          <w:ilvl w:val="0"/>
          <w:numId w:val="13"/>
        </w:numPr>
        <w:spacing w:before="60" w:after="60"/>
        <w:ind w:left="709" w:hanging="283"/>
        <w:contextualSpacing w:val="0"/>
        <w:jc w:val="both"/>
        <w:rPr>
          <w:rFonts w:asciiTheme="minorHAnsi" w:hAnsiTheme="minorHAnsi" w:cs="Martel Sans"/>
          <w:sz w:val="20"/>
          <w:szCs w:val="20"/>
        </w:rPr>
      </w:pPr>
      <w:r>
        <w:rPr>
          <w:rFonts w:asciiTheme="minorHAnsi" w:hAnsiTheme="minorHAnsi" w:cs="Martel Sans"/>
          <w:sz w:val="20"/>
          <w:szCs w:val="20"/>
        </w:rPr>
        <w:t>k</w:t>
      </w:r>
      <w:r w:rsidRPr="00357CD3">
        <w:rPr>
          <w:rFonts w:asciiTheme="minorHAnsi" w:hAnsiTheme="minorHAnsi" w:cs="Martel Sans"/>
          <w:sz w:val="20"/>
          <w:szCs w:val="20"/>
        </w:rPr>
        <w:t xml:space="preserve">niha dochádzky </w:t>
      </w:r>
      <w:r>
        <w:rPr>
          <w:rFonts w:asciiTheme="minorHAnsi" w:hAnsiTheme="minorHAnsi" w:cs="Martel Sans"/>
          <w:sz w:val="20"/>
          <w:szCs w:val="20"/>
        </w:rPr>
        <w:t>AOZ.</w:t>
      </w:r>
    </w:p>
    <w:p w14:paraId="6D09F2D8" w14:textId="77777777" w:rsidR="00A95FED" w:rsidRPr="007B324B" w:rsidRDefault="00A95FED" w:rsidP="00A95FED">
      <w:pPr>
        <w:pStyle w:val="Odsekzoznamu"/>
        <w:numPr>
          <w:ilvl w:val="0"/>
          <w:numId w:val="10"/>
        </w:numPr>
        <w:spacing w:before="60" w:after="60"/>
        <w:ind w:left="426" w:hanging="284"/>
        <w:contextualSpacing w:val="0"/>
        <w:jc w:val="both"/>
      </w:pPr>
      <w:r w:rsidRPr="00E439DA">
        <w:rPr>
          <w:rFonts w:asciiTheme="minorHAnsi" w:hAnsiTheme="minorHAnsi" w:cs="Martel Sans"/>
          <w:sz w:val="20"/>
          <w:szCs w:val="20"/>
        </w:rPr>
        <w:t xml:space="preserve">na základe poskytovania </w:t>
      </w:r>
      <w:r w:rsidRPr="003C3F99">
        <w:rPr>
          <w:rFonts w:asciiTheme="minorHAnsi" w:hAnsiTheme="minorHAnsi" w:cstheme="minorHAnsi"/>
          <w:color w:val="000000" w:themeColor="text1"/>
          <w:sz w:val="20"/>
          <w:szCs w:val="24"/>
        </w:rPr>
        <w:t>zdravotnej mediácie v prostredí MRK na komunitnej úrovni</w:t>
      </w:r>
      <w:r w:rsidRPr="00E439DA">
        <w:rPr>
          <w:rFonts w:asciiTheme="minorHAnsi" w:hAnsiTheme="minorHAnsi" w:cs="Martel Sans"/>
          <w:sz w:val="20"/>
          <w:szCs w:val="20"/>
        </w:rPr>
        <w:t xml:space="preserve"> a jej kontroly prijímateľ predložil k žiadosti o platbu ďalšie doklady o poskytovaní </w:t>
      </w:r>
      <w:r w:rsidRPr="003C3F99">
        <w:rPr>
          <w:rFonts w:asciiTheme="minorHAnsi" w:hAnsiTheme="minorHAnsi" w:cstheme="minorHAnsi"/>
          <w:color w:val="000000" w:themeColor="text1"/>
          <w:sz w:val="20"/>
          <w:szCs w:val="24"/>
        </w:rPr>
        <w:t>zdravotnej mediácie v prostredí MRK na komunitnej úrovni</w:t>
      </w:r>
      <w:r w:rsidRPr="00E439DA">
        <w:rPr>
          <w:rFonts w:asciiTheme="minorHAnsi" w:hAnsiTheme="minorHAnsi" w:cs="Martel Sans"/>
          <w:sz w:val="20"/>
          <w:szCs w:val="20"/>
        </w:rPr>
        <w:t xml:space="preserve"> podľa požiadavky SO</w:t>
      </w:r>
      <w:r>
        <w:rPr>
          <w:rFonts w:asciiTheme="minorHAnsi" w:hAnsiTheme="minorHAnsi" w:cs="Martel Sans"/>
          <w:sz w:val="20"/>
          <w:szCs w:val="20"/>
        </w:rPr>
        <w:t>,</w:t>
      </w:r>
    </w:p>
    <w:p w14:paraId="6D09F2D9" w14:textId="77777777" w:rsidR="00A95FED" w:rsidRPr="005C12D7" w:rsidRDefault="00A95FED" w:rsidP="00A95FED">
      <w:pPr>
        <w:pStyle w:val="Odsekzoznamu"/>
        <w:numPr>
          <w:ilvl w:val="0"/>
          <w:numId w:val="10"/>
        </w:numPr>
        <w:spacing w:before="60" w:after="60"/>
        <w:ind w:left="426" w:hanging="284"/>
        <w:contextualSpacing w:val="0"/>
        <w:jc w:val="both"/>
        <w:rPr>
          <w:rFonts w:asciiTheme="minorHAnsi" w:hAnsiTheme="minorHAnsi" w:cs="Martel Sans"/>
          <w:sz w:val="20"/>
          <w:szCs w:val="20"/>
        </w:rPr>
      </w:pPr>
      <w:r>
        <w:rPr>
          <w:rFonts w:asciiTheme="minorHAnsi" w:hAnsiTheme="minorHAnsi" w:cs="Martel Sans"/>
          <w:sz w:val="20"/>
          <w:szCs w:val="20"/>
        </w:rPr>
        <w:t>m</w:t>
      </w:r>
      <w:r w:rsidRPr="00EA7618">
        <w:rPr>
          <w:rFonts w:asciiTheme="minorHAnsi" w:hAnsiTheme="minorHAnsi" w:cs="Martel Sans"/>
          <w:sz w:val="20"/>
          <w:szCs w:val="20"/>
        </w:rPr>
        <w:t>inimálne kvalifikačné a ďalšie odborné predpoklady</w:t>
      </w:r>
      <w:r>
        <w:rPr>
          <w:rFonts w:asciiTheme="minorHAnsi" w:hAnsiTheme="minorHAnsi" w:cs="Martel Sans"/>
          <w:sz w:val="20"/>
          <w:szCs w:val="20"/>
        </w:rPr>
        <w:t>:</w:t>
      </w:r>
    </w:p>
    <w:p w14:paraId="6D09F2DA" w14:textId="77777777" w:rsidR="00A95FED" w:rsidRPr="00A96516" w:rsidRDefault="00A95FED" w:rsidP="00A95FED">
      <w:pPr>
        <w:pStyle w:val="Odsekzoznamu"/>
        <w:numPr>
          <w:ilvl w:val="0"/>
          <w:numId w:val="13"/>
        </w:numPr>
        <w:spacing w:before="60" w:after="60"/>
        <w:ind w:left="709" w:hanging="283"/>
        <w:contextualSpacing w:val="0"/>
        <w:jc w:val="both"/>
        <w:rPr>
          <w:rFonts w:asciiTheme="minorHAnsi" w:hAnsiTheme="minorHAnsi" w:cs="Martel Sans"/>
          <w:sz w:val="20"/>
          <w:szCs w:val="20"/>
        </w:rPr>
      </w:pPr>
      <w:r>
        <w:rPr>
          <w:rFonts w:asciiTheme="minorHAnsi" w:hAnsiTheme="minorHAnsi" w:cs="Martel Sans"/>
          <w:sz w:val="20"/>
          <w:szCs w:val="20"/>
        </w:rPr>
        <w:t>v</w:t>
      </w:r>
      <w:r w:rsidRPr="00A96516">
        <w:rPr>
          <w:rFonts w:asciiTheme="minorHAnsi" w:hAnsiTheme="minorHAnsi" w:cs="Martel Sans"/>
          <w:sz w:val="20"/>
          <w:szCs w:val="20"/>
        </w:rPr>
        <w:t>zdelanie: ukončená povinná školská dochádzka</w:t>
      </w:r>
      <w:r>
        <w:rPr>
          <w:rStyle w:val="Odkaznapoznmkupodiarou"/>
          <w:rFonts w:asciiTheme="minorHAnsi" w:hAnsiTheme="minorHAnsi" w:cs="Martel Sans"/>
          <w:sz w:val="20"/>
          <w:szCs w:val="20"/>
        </w:rPr>
        <w:footnoteReference w:id="8"/>
      </w:r>
      <w:r w:rsidRPr="00FB7D0C">
        <w:rPr>
          <w:rFonts w:asciiTheme="minorHAnsi" w:hAnsiTheme="minorHAnsi" w:cs="Martel Sans"/>
          <w:sz w:val="20"/>
          <w:szCs w:val="20"/>
        </w:rPr>
        <w:t xml:space="preserve"> </w:t>
      </w:r>
      <w:r w:rsidRPr="00A96516">
        <w:rPr>
          <w:rFonts w:asciiTheme="minorHAnsi" w:hAnsiTheme="minorHAnsi" w:cs="Martel Sans"/>
          <w:sz w:val="20"/>
          <w:szCs w:val="20"/>
        </w:rPr>
        <w:t xml:space="preserve">je podmienkou, </w:t>
      </w:r>
      <w:r w:rsidRPr="00446ECF">
        <w:rPr>
          <w:rFonts w:asciiTheme="minorHAnsi" w:hAnsiTheme="minorHAnsi" w:cs="Martel Sans"/>
          <w:sz w:val="20"/>
          <w:szCs w:val="20"/>
        </w:rPr>
        <w:t>dosiahnuté vyššie vzdelanie je výhodou,</w:t>
      </w:r>
    </w:p>
    <w:p w14:paraId="6D09F2DB" w14:textId="77777777" w:rsidR="00A95FED" w:rsidRPr="00A96516" w:rsidRDefault="00A95FED" w:rsidP="00A95FED">
      <w:pPr>
        <w:pStyle w:val="Odsekzoznamu"/>
        <w:numPr>
          <w:ilvl w:val="0"/>
          <w:numId w:val="13"/>
        </w:numPr>
        <w:spacing w:before="60" w:after="60"/>
        <w:ind w:left="709" w:hanging="283"/>
        <w:contextualSpacing w:val="0"/>
        <w:jc w:val="both"/>
        <w:rPr>
          <w:rFonts w:asciiTheme="minorHAnsi" w:hAnsiTheme="minorHAnsi" w:cs="Martel Sans"/>
          <w:sz w:val="20"/>
          <w:szCs w:val="20"/>
        </w:rPr>
      </w:pPr>
      <w:r>
        <w:rPr>
          <w:rFonts w:asciiTheme="minorHAnsi" w:hAnsiTheme="minorHAnsi" w:cs="Martel Sans"/>
          <w:sz w:val="20"/>
          <w:szCs w:val="20"/>
        </w:rPr>
        <w:t>j</w:t>
      </w:r>
      <w:r w:rsidRPr="00A96516">
        <w:rPr>
          <w:rFonts w:asciiTheme="minorHAnsi" w:hAnsiTheme="minorHAnsi" w:cs="Martel Sans"/>
          <w:sz w:val="20"/>
          <w:szCs w:val="20"/>
        </w:rPr>
        <w:t>azykové znalosti: znalosť slovenského jazyka a znalosť jazyka sociálne vylúčenej komunity (rómsky/maďarský, nárečie) je podmienkou,</w:t>
      </w:r>
    </w:p>
    <w:p w14:paraId="6D09F2DC" w14:textId="77777777" w:rsidR="00A95FED" w:rsidRPr="00A96516" w:rsidRDefault="00A95FED" w:rsidP="00A95FED">
      <w:pPr>
        <w:pStyle w:val="Odsekzoznamu"/>
        <w:numPr>
          <w:ilvl w:val="0"/>
          <w:numId w:val="13"/>
        </w:numPr>
        <w:spacing w:before="60" w:after="60"/>
        <w:ind w:left="709" w:hanging="283"/>
        <w:contextualSpacing w:val="0"/>
        <w:jc w:val="both"/>
        <w:rPr>
          <w:rFonts w:asciiTheme="minorHAnsi" w:hAnsiTheme="minorHAnsi" w:cs="Martel Sans"/>
          <w:sz w:val="20"/>
          <w:szCs w:val="20"/>
        </w:rPr>
      </w:pPr>
      <w:r>
        <w:rPr>
          <w:rFonts w:asciiTheme="minorHAnsi" w:hAnsiTheme="minorHAnsi" w:cs="Martel Sans"/>
          <w:sz w:val="20"/>
          <w:szCs w:val="20"/>
        </w:rPr>
        <w:t>p</w:t>
      </w:r>
      <w:r w:rsidRPr="00A96516">
        <w:rPr>
          <w:rFonts w:asciiTheme="minorHAnsi" w:hAnsiTheme="minorHAnsi" w:cs="Martel Sans"/>
          <w:sz w:val="20"/>
          <w:szCs w:val="20"/>
        </w:rPr>
        <w:t>racovné skúsenosti: skúsenosti s organizovaním aktivít v lokalite doterajšej pôsobnosti, terénna práca v oblasti podpory zdravia alebo sociálnej práce – výhoda,</w:t>
      </w:r>
    </w:p>
    <w:p w14:paraId="6D09F2DD" w14:textId="77777777" w:rsidR="00A95FED" w:rsidRPr="003C7588" w:rsidRDefault="00A95FED" w:rsidP="00A95FED">
      <w:pPr>
        <w:pStyle w:val="Odsekzoznamu"/>
        <w:numPr>
          <w:ilvl w:val="0"/>
          <w:numId w:val="13"/>
        </w:numPr>
        <w:spacing w:before="60" w:after="60"/>
        <w:ind w:left="709" w:hanging="283"/>
        <w:contextualSpacing w:val="0"/>
        <w:jc w:val="both"/>
        <w:rPr>
          <w:rFonts w:asciiTheme="minorHAnsi" w:hAnsiTheme="minorHAnsi" w:cs="Martel Sans"/>
          <w:sz w:val="20"/>
          <w:szCs w:val="20"/>
        </w:rPr>
      </w:pPr>
      <w:r w:rsidRPr="00EA7618">
        <w:rPr>
          <w:rFonts w:asciiTheme="minorHAnsi" w:hAnsiTheme="minorHAnsi" w:cs="Martel Sans"/>
          <w:sz w:val="20"/>
          <w:szCs w:val="20"/>
        </w:rPr>
        <w:t>vzťah ku komunite: akceptácia a rešpekt miestne</w:t>
      </w:r>
      <w:r w:rsidRPr="003C7588">
        <w:rPr>
          <w:rFonts w:asciiTheme="minorHAnsi" w:hAnsiTheme="minorHAnsi" w:cs="Martel Sans"/>
          <w:sz w:val="20"/>
          <w:szCs w:val="20"/>
        </w:rPr>
        <w:t>j komunity a predstaviteľov miestnej samosprávy, trvalý alebo prechodný pobyt v obci uvedenej vo výzve na výber ľudských zdrojov – podmienka.</w:t>
      </w:r>
    </w:p>
    <w:p w14:paraId="6D09F2DE" w14:textId="77777777" w:rsidR="00A95FED" w:rsidRPr="003C7588" w:rsidRDefault="00A95FED" w:rsidP="00A95FED">
      <w:pPr>
        <w:pStyle w:val="Odsekzoznamu"/>
        <w:numPr>
          <w:ilvl w:val="0"/>
          <w:numId w:val="13"/>
        </w:numPr>
        <w:spacing w:before="60" w:after="60"/>
        <w:ind w:left="709" w:hanging="283"/>
        <w:contextualSpacing w:val="0"/>
        <w:jc w:val="both"/>
        <w:rPr>
          <w:rFonts w:asciiTheme="minorHAnsi" w:hAnsiTheme="minorHAnsi" w:cs="Martel Sans"/>
          <w:sz w:val="20"/>
          <w:szCs w:val="20"/>
        </w:rPr>
      </w:pPr>
      <w:r>
        <w:rPr>
          <w:rFonts w:asciiTheme="minorHAnsi" w:hAnsiTheme="minorHAnsi" w:cs="Martel Sans"/>
          <w:sz w:val="20"/>
          <w:szCs w:val="20"/>
        </w:rPr>
        <w:t>ď</w:t>
      </w:r>
      <w:r w:rsidRPr="003C7588">
        <w:rPr>
          <w:rFonts w:asciiTheme="minorHAnsi" w:hAnsiTheme="minorHAnsi" w:cs="Martel Sans"/>
          <w:sz w:val="20"/>
          <w:szCs w:val="20"/>
        </w:rPr>
        <w:t>alšie požiadavky/výhody: motivácia k práci s obyvateľmi segregovaných a separovaných rómskych lokalít, disciplinovanosť, dôveryhodnosť, zmysel pre zodpovednosť, morálne kvality, nekonfliktnosť, dobré komunikačné zručnosti</w:t>
      </w:r>
      <w:r>
        <w:rPr>
          <w:rFonts w:asciiTheme="minorHAnsi" w:hAnsiTheme="minorHAnsi" w:cs="Martel Sans"/>
          <w:sz w:val="20"/>
          <w:szCs w:val="20"/>
        </w:rPr>
        <w:t>,</w:t>
      </w:r>
    </w:p>
    <w:p w14:paraId="6D09F2DF" w14:textId="77777777" w:rsidR="00A95FED" w:rsidRPr="00863CA6" w:rsidRDefault="00A95FED" w:rsidP="00A95FED">
      <w:pPr>
        <w:pStyle w:val="Odsekzoznamu"/>
        <w:numPr>
          <w:ilvl w:val="0"/>
          <w:numId w:val="10"/>
        </w:numPr>
        <w:spacing w:before="60" w:after="60"/>
        <w:ind w:left="426" w:hanging="284"/>
        <w:contextualSpacing w:val="0"/>
        <w:jc w:val="both"/>
        <w:rPr>
          <w:rFonts w:asciiTheme="minorHAnsi" w:hAnsiTheme="minorHAnsi" w:cs="Martel Sans"/>
          <w:sz w:val="20"/>
          <w:szCs w:val="20"/>
        </w:rPr>
      </w:pPr>
      <w:r>
        <w:rPr>
          <w:rFonts w:asciiTheme="minorHAnsi" w:hAnsiTheme="minorHAnsi" w:cs="Martel Sans"/>
          <w:sz w:val="20"/>
          <w:szCs w:val="20"/>
        </w:rPr>
        <w:t>r</w:t>
      </w:r>
      <w:r w:rsidRPr="00863CA6">
        <w:rPr>
          <w:rFonts w:asciiTheme="minorHAnsi" w:hAnsiTheme="minorHAnsi" w:cs="Martel Sans"/>
          <w:sz w:val="20"/>
          <w:szCs w:val="20"/>
        </w:rPr>
        <w:t>ámcoví opis pracovných činností:</w:t>
      </w:r>
    </w:p>
    <w:p w14:paraId="6D09F2E0" w14:textId="77777777" w:rsidR="00A95FED" w:rsidRPr="00863CA6" w:rsidRDefault="00A95FED" w:rsidP="00A95FED">
      <w:pPr>
        <w:pStyle w:val="Odsekzoznamu"/>
        <w:numPr>
          <w:ilvl w:val="0"/>
          <w:numId w:val="13"/>
        </w:numPr>
        <w:spacing w:before="60" w:after="60"/>
        <w:ind w:left="709" w:hanging="283"/>
        <w:contextualSpacing w:val="0"/>
        <w:jc w:val="both"/>
        <w:rPr>
          <w:rFonts w:asciiTheme="minorHAnsi" w:hAnsiTheme="minorHAnsi" w:cs="Martel Sans"/>
          <w:sz w:val="20"/>
          <w:szCs w:val="20"/>
        </w:rPr>
      </w:pPr>
      <w:r>
        <w:rPr>
          <w:rFonts w:asciiTheme="minorHAnsi" w:hAnsiTheme="minorHAnsi" w:cs="Martel Sans"/>
          <w:sz w:val="20"/>
          <w:szCs w:val="20"/>
        </w:rPr>
        <w:t>v</w:t>
      </w:r>
      <w:r w:rsidRPr="00863CA6">
        <w:rPr>
          <w:rFonts w:asciiTheme="minorHAnsi" w:hAnsiTheme="minorHAnsi" w:cs="Martel Sans"/>
          <w:sz w:val="20"/>
          <w:szCs w:val="20"/>
        </w:rPr>
        <w:t>edenie evidencie o svojej činnosti v rámci projektu</w:t>
      </w:r>
      <w:r>
        <w:rPr>
          <w:rFonts w:asciiTheme="minorHAnsi" w:hAnsiTheme="minorHAnsi" w:cs="Martel Sans"/>
          <w:sz w:val="20"/>
          <w:szCs w:val="20"/>
        </w:rPr>
        <w:t>,</w:t>
      </w:r>
    </w:p>
    <w:p w14:paraId="6D09F2E1" w14:textId="77777777" w:rsidR="00A95FED" w:rsidRPr="00863CA6" w:rsidRDefault="00A95FED" w:rsidP="00A95FED">
      <w:pPr>
        <w:pStyle w:val="Odsekzoznamu"/>
        <w:numPr>
          <w:ilvl w:val="0"/>
          <w:numId w:val="13"/>
        </w:numPr>
        <w:spacing w:before="60" w:after="60"/>
        <w:ind w:left="709" w:hanging="283"/>
        <w:contextualSpacing w:val="0"/>
        <w:jc w:val="both"/>
        <w:rPr>
          <w:rFonts w:asciiTheme="minorHAnsi" w:hAnsiTheme="minorHAnsi" w:cs="Martel Sans"/>
          <w:sz w:val="20"/>
          <w:szCs w:val="20"/>
        </w:rPr>
      </w:pPr>
      <w:r>
        <w:rPr>
          <w:rFonts w:asciiTheme="minorHAnsi" w:hAnsiTheme="minorHAnsi" w:cs="Martel Sans"/>
          <w:sz w:val="20"/>
          <w:szCs w:val="20"/>
        </w:rPr>
        <w:t>š</w:t>
      </w:r>
      <w:r w:rsidRPr="00863CA6">
        <w:rPr>
          <w:rFonts w:asciiTheme="minorHAnsi" w:hAnsiTheme="minorHAnsi" w:cs="Martel Sans"/>
          <w:sz w:val="20"/>
          <w:szCs w:val="20"/>
        </w:rPr>
        <w:t>írenie elementárnej zdravotnej osvety v znevýhodnenej rómskej komunite – v segregovaných a separovaných rómskych osídleniach a lokalitách</w:t>
      </w:r>
      <w:r>
        <w:rPr>
          <w:rFonts w:asciiTheme="minorHAnsi" w:hAnsiTheme="minorHAnsi" w:cs="Martel Sans"/>
          <w:sz w:val="20"/>
          <w:szCs w:val="20"/>
        </w:rPr>
        <w:t>,</w:t>
      </w:r>
    </w:p>
    <w:p w14:paraId="6D09F2E2" w14:textId="77777777" w:rsidR="00A95FED" w:rsidRPr="00863CA6" w:rsidRDefault="00A95FED" w:rsidP="00A95FED">
      <w:pPr>
        <w:pStyle w:val="Odsekzoznamu"/>
        <w:numPr>
          <w:ilvl w:val="0"/>
          <w:numId w:val="13"/>
        </w:numPr>
        <w:spacing w:before="60" w:after="60"/>
        <w:ind w:left="709" w:hanging="283"/>
        <w:contextualSpacing w:val="0"/>
        <w:jc w:val="both"/>
        <w:rPr>
          <w:rFonts w:asciiTheme="minorHAnsi" w:hAnsiTheme="minorHAnsi" w:cs="Martel Sans"/>
          <w:sz w:val="20"/>
          <w:szCs w:val="20"/>
        </w:rPr>
      </w:pPr>
      <w:r>
        <w:rPr>
          <w:rFonts w:asciiTheme="minorHAnsi" w:hAnsiTheme="minorHAnsi" w:cs="Martel Sans"/>
          <w:sz w:val="20"/>
          <w:szCs w:val="20"/>
        </w:rPr>
        <w:t>z</w:t>
      </w:r>
      <w:r w:rsidRPr="00863CA6">
        <w:rPr>
          <w:rFonts w:asciiTheme="minorHAnsi" w:hAnsiTheme="minorHAnsi" w:cs="Martel Sans"/>
          <w:sz w:val="20"/>
          <w:szCs w:val="20"/>
        </w:rPr>
        <w:t>abezpečovanie komunikácie medzi obyvateľmi segregovaných a separovaných rómskych osídlení a lokalít a lekármi, sestrami, prípadne pôrodnými asistentkami, verejnými zdravotníkmi</w:t>
      </w:r>
      <w:r>
        <w:rPr>
          <w:rFonts w:asciiTheme="minorHAnsi" w:hAnsiTheme="minorHAnsi" w:cs="Martel Sans"/>
          <w:sz w:val="20"/>
          <w:szCs w:val="20"/>
        </w:rPr>
        <w:t>,</w:t>
      </w:r>
    </w:p>
    <w:p w14:paraId="6D09F2E3" w14:textId="77777777" w:rsidR="00A95FED" w:rsidRPr="00863CA6" w:rsidRDefault="00A95FED" w:rsidP="00A95FED">
      <w:pPr>
        <w:pStyle w:val="Odsekzoznamu"/>
        <w:numPr>
          <w:ilvl w:val="0"/>
          <w:numId w:val="13"/>
        </w:numPr>
        <w:spacing w:before="60" w:after="60"/>
        <w:ind w:left="709" w:hanging="283"/>
        <w:contextualSpacing w:val="0"/>
        <w:jc w:val="both"/>
        <w:rPr>
          <w:rFonts w:asciiTheme="minorHAnsi" w:hAnsiTheme="minorHAnsi" w:cs="Martel Sans"/>
          <w:sz w:val="20"/>
          <w:szCs w:val="20"/>
        </w:rPr>
      </w:pPr>
      <w:r>
        <w:rPr>
          <w:rFonts w:asciiTheme="minorHAnsi" w:hAnsiTheme="minorHAnsi" w:cs="Martel Sans"/>
          <w:sz w:val="20"/>
          <w:szCs w:val="20"/>
        </w:rPr>
        <w:t>p</w:t>
      </w:r>
      <w:r w:rsidRPr="00863CA6">
        <w:rPr>
          <w:rFonts w:asciiTheme="minorHAnsi" w:hAnsiTheme="minorHAnsi" w:cs="Martel Sans"/>
          <w:sz w:val="20"/>
          <w:szCs w:val="20"/>
        </w:rPr>
        <w:t>odpora prístupu komunity k zdravotnej starostlivosti: zabezpečovanie informácií o prevencii, poskytovaní zdravotnej starostlivosti a zdravotného poistenia a o právach pacienta a poistenca</w:t>
      </w:r>
      <w:r>
        <w:rPr>
          <w:rFonts w:asciiTheme="minorHAnsi" w:hAnsiTheme="minorHAnsi" w:cs="Martel Sans"/>
          <w:sz w:val="20"/>
          <w:szCs w:val="20"/>
        </w:rPr>
        <w:t>,</w:t>
      </w:r>
    </w:p>
    <w:p w14:paraId="6D09F2E4" w14:textId="77777777" w:rsidR="00A95FED" w:rsidRPr="00863CA6" w:rsidRDefault="00A95FED" w:rsidP="00A95FED">
      <w:pPr>
        <w:pStyle w:val="Odsekzoznamu"/>
        <w:numPr>
          <w:ilvl w:val="0"/>
          <w:numId w:val="13"/>
        </w:numPr>
        <w:spacing w:before="60" w:after="60"/>
        <w:ind w:left="709" w:hanging="283"/>
        <w:contextualSpacing w:val="0"/>
        <w:jc w:val="both"/>
        <w:rPr>
          <w:rFonts w:asciiTheme="minorHAnsi" w:hAnsiTheme="minorHAnsi" w:cs="Martel Sans"/>
          <w:sz w:val="20"/>
          <w:szCs w:val="20"/>
        </w:rPr>
      </w:pPr>
      <w:r>
        <w:rPr>
          <w:rFonts w:asciiTheme="minorHAnsi" w:hAnsiTheme="minorHAnsi" w:cs="Martel Sans"/>
          <w:sz w:val="20"/>
          <w:szCs w:val="20"/>
        </w:rPr>
        <w:t>s</w:t>
      </w:r>
      <w:r w:rsidRPr="00863CA6">
        <w:rPr>
          <w:rFonts w:asciiTheme="minorHAnsi" w:hAnsiTheme="minorHAnsi" w:cs="Martel Sans"/>
          <w:sz w:val="20"/>
          <w:szCs w:val="20"/>
        </w:rPr>
        <w:t>polupráca pri aplikovaní programov podpory zdravia do komunity podľa inštrukcií koordinátora</w:t>
      </w:r>
    </w:p>
    <w:p w14:paraId="6D09F2E5" w14:textId="77777777" w:rsidR="00A95FED" w:rsidRPr="00863CA6" w:rsidRDefault="00A95FED" w:rsidP="00A95FED">
      <w:pPr>
        <w:pStyle w:val="Odsekzoznamu"/>
        <w:numPr>
          <w:ilvl w:val="0"/>
          <w:numId w:val="13"/>
        </w:numPr>
        <w:spacing w:before="60" w:after="60"/>
        <w:ind w:left="709" w:hanging="283"/>
        <w:contextualSpacing w:val="0"/>
        <w:jc w:val="both"/>
        <w:rPr>
          <w:rFonts w:asciiTheme="minorHAnsi" w:hAnsiTheme="minorHAnsi" w:cs="Martel Sans"/>
          <w:sz w:val="20"/>
          <w:szCs w:val="20"/>
        </w:rPr>
      </w:pPr>
      <w:r>
        <w:rPr>
          <w:rFonts w:asciiTheme="minorHAnsi" w:hAnsiTheme="minorHAnsi" w:cs="Martel Sans"/>
          <w:sz w:val="20"/>
          <w:szCs w:val="20"/>
        </w:rPr>
        <w:t>p</w:t>
      </w:r>
      <w:r w:rsidRPr="00863CA6">
        <w:rPr>
          <w:rFonts w:asciiTheme="minorHAnsi" w:hAnsiTheme="minorHAnsi" w:cs="Martel Sans"/>
          <w:sz w:val="20"/>
          <w:szCs w:val="20"/>
        </w:rPr>
        <w:t>odpora zvyšovanie zodpovednosti členov komunity za vlastné zdravie</w:t>
      </w:r>
      <w:r>
        <w:rPr>
          <w:rFonts w:asciiTheme="minorHAnsi" w:hAnsiTheme="minorHAnsi" w:cs="Martel Sans"/>
          <w:sz w:val="20"/>
          <w:szCs w:val="20"/>
        </w:rPr>
        <w:t>,</w:t>
      </w:r>
    </w:p>
    <w:p w14:paraId="6D09F2E6" w14:textId="77777777" w:rsidR="00A95FED" w:rsidRPr="00863CA6" w:rsidRDefault="00A95FED" w:rsidP="00A95FED">
      <w:pPr>
        <w:pStyle w:val="Odsekzoznamu"/>
        <w:numPr>
          <w:ilvl w:val="0"/>
          <w:numId w:val="13"/>
        </w:numPr>
        <w:spacing w:before="60" w:after="60"/>
        <w:ind w:left="709" w:hanging="283"/>
        <w:contextualSpacing w:val="0"/>
        <w:jc w:val="both"/>
        <w:rPr>
          <w:rFonts w:asciiTheme="minorHAnsi" w:hAnsiTheme="minorHAnsi" w:cs="Martel Sans"/>
          <w:sz w:val="20"/>
          <w:szCs w:val="20"/>
        </w:rPr>
      </w:pPr>
      <w:r>
        <w:rPr>
          <w:rFonts w:asciiTheme="minorHAnsi" w:hAnsiTheme="minorHAnsi" w:cs="Martel Sans"/>
          <w:sz w:val="20"/>
          <w:szCs w:val="20"/>
        </w:rPr>
        <w:lastRenderedPageBreak/>
        <w:t>s</w:t>
      </w:r>
      <w:r w:rsidRPr="00863CA6">
        <w:rPr>
          <w:rFonts w:asciiTheme="minorHAnsi" w:hAnsiTheme="minorHAnsi" w:cs="Martel Sans"/>
          <w:sz w:val="20"/>
          <w:szCs w:val="20"/>
        </w:rPr>
        <w:t>polupráca s koordinátorom pri identifikovaní rizikových faktorov a potrieb súvisiacich so zdravím znevýhodnenej komunity, zber údajov</w:t>
      </w:r>
      <w:r>
        <w:rPr>
          <w:rFonts w:asciiTheme="minorHAnsi" w:hAnsiTheme="minorHAnsi" w:cs="Martel Sans"/>
          <w:sz w:val="20"/>
          <w:szCs w:val="20"/>
        </w:rPr>
        <w:t>,</w:t>
      </w:r>
    </w:p>
    <w:p w14:paraId="6D09F2E7" w14:textId="77777777" w:rsidR="00A95FED" w:rsidRPr="00863CA6" w:rsidRDefault="00A95FED" w:rsidP="00A95FED">
      <w:pPr>
        <w:pStyle w:val="Odsekzoznamu"/>
        <w:numPr>
          <w:ilvl w:val="0"/>
          <w:numId w:val="13"/>
        </w:numPr>
        <w:spacing w:before="60" w:after="60"/>
        <w:ind w:left="709" w:hanging="283"/>
        <w:contextualSpacing w:val="0"/>
        <w:jc w:val="both"/>
        <w:rPr>
          <w:rFonts w:asciiTheme="minorHAnsi" w:hAnsiTheme="minorHAnsi" w:cs="Martel Sans"/>
          <w:sz w:val="20"/>
          <w:szCs w:val="20"/>
        </w:rPr>
      </w:pPr>
      <w:r>
        <w:rPr>
          <w:rFonts w:asciiTheme="minorHAnsi" w:hAnsiTheme="minorHAnsi" w:cs="Martel Sans"/>
          <w:sz w:val="20"/>
          <w:szCs w:val="20"/>
        </w:rPr>
        <w:t>s</w:t>
      </w:r>
      <w:r w:rsidRPr="00863CA6">
        <w:rPr>
          <w:rFonts w:asciiTheme="minorHAnsi" w:hAnsiTheme="minorHAnsi" w:cs="Martel Sans"/>
          <w:sz w:val="20"/>
          <w:szCs w:val="20"/>
        </w:rPr>
        <w:t>polupráca pri výmene informácií a skúseností s terénnymi sociálnymi pracovníkmi a tiež s rómskymi asistentmi učiteľa, s regionálnymi kanceláriami Úradu splnomocnenca vlády SR pre rómske komunity a mimovládnymi organizáciami zameranými na pomoc znevýhodneným rómskym komunitám</w:t>
      </w:r>
      <w:r>
        <w:rPr>
          <w:rFonts w:asciiTheme="minorHAnsi" w:hAnsiTheme="minorHAnsi" w:cs="Martel Sans"/>
          <w:sz w:val="20"/>
          <w:szCs w:val="20"/>
        </w:rPr>
        <w:t>,</w:t>
      </w:r>
    </w:p>
    <w:p w14:paraId="6D09F2E8" w14:textId="77777777" w:rsidR="00A95FED" w:rsidRPr="00863CA6" w:rsidRDefault="00A95FED" w:rsidP="00A95FED">
      <w:pPr>
        <w:pStyle w:val="Odsekzoznamu"/>
        <w:numPr>
          <w:ilvl w:val="0"/>
          <w:numId w:val="13"/>
        </w:numPr>
        <w:spacing w:before="60" w:after="60"/>
        <w:ind w:left="709" w:hanging="283"/>
        <w:contextualSpacing w:val="0"/>
        <w:jc w:val="both"/>
        <w:rPr>
          <w:rFonts w:asciiTheme="minorHAnsi" w:hAnsiTheme="minorHAnsi" w:cs="Martel Sans"/>
          <w:sz w:val="20"/>
          <w:szCs w:val="20"/>
        </w:rPr>
      </w:pPr>
      <w:r>
        <w:rPr>
          <w:rFonts w:asciiTheme="minorHAnsi" w:hAnsiTheme="minorHAnsi" w:cs="Martel Sans"/>
          <w:sz w:val="20"/>
          <w:szCs w:val="20"/>
        </w:rPr>
        <w:t>ú</w:t>
      </w:r>
      <w:r w:rsidRPr="00863CA6">
        <w:rPr>
          <w:rFonts w:asciiTheme="minorHAnsi" w:hAnsiTheme="minorHAnsi" w:cs="Martel Sans"/>
          <w:sz w:val="20"/>
          <w:szCs w:val="20"/>
        </w:rPr>
        <w:t>časť na školeniach zameraných na rozširovanie vedomostí a zručností súvisiacich s náplňou práce</w:t>
      </w:r>
      <w:r>
        <w:rPr>
          <w:rFonts w:asciiTheme="minorHAnsi" w:hAnsiTheme="minorHAnsi" w:cs="Martel Sans"/>
          <w:sz w:val="20"/>
          <w:szCs w:val="20"/>
        </w:rPr>
        <w:t>,</w:t>
      </w:r>
    </w:p>
    <w:p w14:paraId="6D09F2E9" w14:textId="77777777" w:rsidR="00A95FED" w:rsidRDefault="00A95FED" w:rsidP="00A95FED">
      <w:pPr>
        <w:pStyle w:val="Odsekzoznamu"/>
        <w:numPr>
          <w:ilvl w:val="0"/>
          <w:numId w:val="13"/>
        </w:numPr>
        <w:spacing w:before="60" w:after="60"/>
        <w:ind w:left="709" w:hanging="283"/>
        <w:contextualSpacing w:val="0"/>
        <w:jc w:val="both"/>
        <w:rPr>
          <w:rFonts w:asciiTheme="minorHAnsi" w:hAnsiTheme="minorHAnsi" w:cs="Martel Sans"/>
          <w:sz w:val="20"/>
          <w:szCs w:val="20"/>
        </w:rPr>
      </w:pPr>
      <w:r>
        <w:rPr>
          <w:rFonts w:asciiTheme="minorHAnsi" w:hAnsiTheme="minorHAnsi" w:cs="Martel Sans"/>
          <w:sz w:val="20"/>
          <w:szCs w:val="20"/>
        </w:rPr>
        <w:t>ď</w:t>
      </w:r>
      <w:r w:rsidRPr="00863CA6">
        <w:rPr>
          <w:rFonts w:asciiTheme="minorHAnsi" w:hAnsiTheme="minorHAnsi" w:cs="Martel Sans"/>
          <w:sz w:val="20"/>
          <w:szCs w:val="20"/>
        </w:rPr>
        <w:t>alšie činnosti spojené s realizáciou projektu pod vedením KAOZ</w:t>
      </w:r>
      <w:r>
        <w:rPr>
          <w:rFonts w:asciiTheme="minorHAnsi" w:hAnsiTheme="minorHAnsi" w:cs="Martel Sans"/>
          <w:sz w:val="20"/>
          <w:szCs w:val="20"/>
        </w:rPr>
        <w:t>.</w:t>
      </w:r>
    </w:p>
    <w:p w14:paraId="6D09F2EA" w14:textId="77777777" w:rsidR="00474A46" w:rsidRDefault="00474A46" w:rsidP="00474A46">
      <w:pPr>
        <w:pStyle w:val="Nadpis1"/>
      </w:pPr>
      <w:bookmarkStart w:id="15" w:name="_Toc484698437"/>
      <w:bookmarkStart w:id="16" w:name="_Toc484698536"/>
      <w:bookmarkStart w:id="17" w:name="_Toc484702502"/>
      <w:r>
        <w:t>Spôsob výkonu kontroly</w:t>
      </w:r>
      <w:bookmarkEnd w:id="15"/>
      <w:bookmarkEnd w:id="16"/>
      <w:bookmarkEnd w:id="17"/>
    </w:p>
    <w:p w14:paraId="6D09F2EB" w14:textId="77777777" w:rsidR="00474A46" w:rsidRPr="00167FDD" w:rsidRDefault="00474A46" w:rsidP="00474A46">
      <w:pPr>
        <w:spacing w:before="60" w:after="60"/>
        <w:jc w:val="both"/>
        <w:rPr>
          <w:rFonts w:asciiTheme="minorHAnsi" w:hAnsiTheme="minorHAnsi" w:cs="Martel Sans"/>
          <w:sz w:val="20"/>
          <w:szCs w:val="20"/>
        </w:rPr>
      </w:pPr>
      <w:r w:rsidRPr="00167FDD">
        <w:rPr>
          <w:rFonts w:asciiTheme="minorHAnsi" w:hAnsiTheme="minorHAnsi" w:cs="Martel Sans"/>
          <w:sz w:val="20"/>
          <w:szCs w:val="20"/>
        </w:rPr>
        <w:t>Výkon kontroly sa realizuje administratívnou finančnou kontrolou žiadostí o platbu a finančnou kontrolu na miest e v súlade s pravidlami EŠIF.</w:t>
      </w:r>
    </w:p>
    <w:p w14:paraId="688746D9" w14:textId="34AA7893" w:rsidR="00AE26C5" w:rsidRDefault="00474A46" w:rsidP="00474A46">
      <w:pPr>
        <w:spacing w:before="60" w:after="60"/>
        <w:jc w:val="both"/>
        <w:rPr>
          <w:rFonts w:asciiTheme="minorHAnsi" w:hAnsiTheme="minorHAnsi" w:cs="Martel Sans"/>
          <w:sz w:val="20"/>
          <w:szCs w:val="20"/>
        </w:rPr>
      </w:pPr>
      <w:r w:rsidRPr="00167FDD">
        <w:rPr>
          <w:rFonts w:asciiTheme="minorHAnsi" w:hAnsiTheme="minorHAnsi" w:cs="Martel Sans"/>
          <w:sz w:val="20"/>
          <w:szCs w:val="20"/>
        </w:rPr>
        <w:t xml:space="preserve">Administratívna finančná kontrola sa vykoná na každej predloženej žiadosti o platbu zo strany prijímateľa. </w:t>
      </w:r>
      <w:r w:rsidR="00AE26C5">
        <w:rPr>
          <w:rFonts w:asciiTheme="minorHAnsi" w:hAnsiTheme="minorHAnsi" w:cs="Martel Sans"/>
          <w:sz w:val="20"/>
          <w:szCs w:val="20"/>
        </w:rPr>
        <w:t>Predmetom kontroly je zoznam výdavkov uvedených v predkladaných sumarizačných hárkoch</w:t>
      </w:r>
      <w:r w:rsidR="00AE26C5" w:rsidRPr="002B0764">
        <w:rPr>
          <w:rFonts w:asciiTheme="minorHAnsi" w:hAnsiTheme="minorHAnsi" w:cs="Martel Sans"/>
          <w:sz w:val="20"/>
          <w:szCs w:val="20"/>
        </w:rPr>
        <w:t>, kniha dochádzky</w:t>
      </w:r>
      <w:r w:rsidR="00AE26C5">
        <w:rPr>
          <w:rFonts w:asciiTheme="minorHAnsi" w:hAnsiTheme="minorHAnsi" w:cs="Martel Sans"/>
          <w:sz w:val="20"/>
          <w:szCs w:val="20"/>
        </w:rPr>
        <w:t xml:space="preserve"> AOZ, prípadne </w:t>
      </w:r>
      <w:r w:rsidR="00AE26C5" w:rsidRPr="00AE26C5">
        <w:rPr>
          <w:rFonts w:asciiTheme="minorHAnsi" w:hAnsiTheme="minorHAnsi" w:cs="Martel Sans"/>
          <w:sz w:val="20"/>
          <w:szCs w:val="20"/>
        </w:rPr>
        <w:t>ďalšie doklady o poskytovaní zdravotnej mediácie v prostredí MRK na komunitnej úrovni podľa požiadavky SO</w:t>
      </w:r>
      <w:r w:rsidR="00AE26C5">
        <w:rPr>
          <w:rFonts w:asciiTheme="minorHAnsi" w:hAnsiTheme="minorHAnsi" w:cs="Martel Sans"/>
          <w:sz w:val="20"/>
          <w:szCs w:val="20"/>
        </w:rPr>
        <w:t>.</w:t>
      </w:r>
    </w:p>
    <w:p w14:paraId="6D09F2ED" w14:textId="3F626710" w:rsidR="00474A46" w:rsidRDefault="00474A46" w:rsidP="00474A46">
      <w:pPr>
        <w:spacing w:before="60" w:after="60"/>
        <w:jc w:val="both"/>
        <w:rPr>
          <w:rFonts w:asciiTheme="minorHAnsi" w:hAnsiTheme="minorHAnsi" w:cs="Martel Sans"/>
          <w:sz w:val="20"/>
          <w:szCs w:val="20"/>
        </w:rPr>
      </w:pPr>
      <w:r w:rsidRPr="00167FDD">
        <w:rPr>
          <w:rFonts w:asciiTheme="minorHAnsi" w:hAnsiTheme="minorHAnsi" w:cs="Martel Sans"/>
          <w:sz w:val="20"/>
          <w:szCs w:val="20"/>
        </w:rPr>
        <w:t>Finančná kontrola na mieste sa vykonáva na vzorke výda</w:t>
      </w:r>
      <w:bookmarkStart w:id="18" w:name="_GoBack"/>
      <w:bookmarkEnd w:id="18"/>
      <w:r w:rsidRPr="00167FDD">
        <w:rPr>
          <w:rFonts w:asciiTheme="minorHAnsi" w:hAnsiTheme="minorHAnsi" w:cs="Martel Sans"/>
          <w:sz w:val="20"/>
          <w:szCs w:val="20"/>
        </w:rPr>
        <w:t>vkov</w:t>
      </w:r>
      <w:r w:rsidR="00211A1D">
        <w:rPr>
          <w:rFonts w:asciiTheme="minorHAnsi" w:hAnsiTheme="minorHAnsi" w:cs="Martel Sans"/>
          <w:sz w:val="20"/>
          <w:szCs w:val="20"/>
        </w:rPr>
        <w:t xml:space="preserve"> a </w:t>
      </w:r>
      <w:r w:rsidRPr="00167FDD">
        <w:rPr>
          <w:rFonts w:asciiTheme="minorHAnsi" w:hAnsiTheme="minorHAnsi" w:cs="Martel Sans"/>
          <w:sz w:val="20"/>
          <w:szCs w:val="20"/>
        </w:rPr>
        <w:t xml:space="preserve">realizuje </w:t>
      </w:r>
      <w:r w:rsidR="00211A1D">
        <w:rPr>
          <w:rFonts w:asciiTheme="minorHAnsi" w:hAnsiTheme="minorHAnsi" w:cs="Martel Sans"/>
          <w:sz w:val="20"/>
          <w:szCs w:val="20"/>
        </w:rPr>
        <w:t xml:space="preserve">sa </w:t>
      </w:r>
      <w:r w:rsidRPr="00167FDD">
        <w:rPr>
          <w:rFonts w:asciiTheme="minorHAnsi" w:hAnsiTheme="minorHAnsi" w:cs="Martel Sans"/>
          <w:sz w:val="20"/>
          <w:szCs w:val="20"/>
        </w:rPr>
        <w:t>za účelom získania uistenia o správnej aplikácii ŠSJN.</w:t>
      </w:r>
      <w:r w:rsidR="00AE26C5">
        <w:rPr>
          <w:rFonts w:asciiTheme="minorHAnsi" w:hAnsiTheme="minorHAnsi" w:cs="Martel Sans"/>
          <w:sz w:val="20"/>
          <w:szCs w:val="20"/>
        </w:rPr>
        <w:t xml:space="preserve"> Výdavky </w:t>
      </w:r>
      <w:r w:rsidR="00211A1D">
        <w:rPr>
          <w:rFonts w:asciiTheme="minorHAnsi" w:hAnsiTheme="minorHAnsi" w:cs="Martel Sans"/>
          <w:sz w:val="20"/>
          <w:szCs w:val="20"/>
        </w:rPr>
        <w:t xml:space="preserve">budú </w:t>
      </w:r>
      <w:r w:rsidR="00AE26C5">
        <w:rPr>
          <w:rFonts w:asciiTheme="minorHAnsi" w:hAnsiTheme="minorHAnsi" w:cs="Martel Sans"/>
          <w:sz w:val="20"/>
          <w:szCs w:val="20"/>
        </w:rPr>
        <w:t xml:space="preserve">kontrolované </w:t>
      </w:r>
      <w:r w:rsidR="00211A1D">
        <w:rPr>
          <w:rFonts w:asciiTheme="minorHAnsi" w:hAnsiTheme="minorHAnsi" w:cs="Martel Sans"/>
          <w:sz w:val="20"/>
          <w:szCs w:val="20"/>
        </w:rPr>
        <w:t xml:space="preserve">najmä </w:t>
      </w:r>
      <w:r w:rsidR="00AE26C5">
        <w:rPr>
          <w:rFonts w:asciiTheme="minorHAnsi" w:hAnsiTheme="minorHAnsi" w:cs="Martel Sans"/>
          <w:sz w:val="20"/>
          <w:szCs w:val="20"/>
        </w:rPr>
        <w:t xml:space="preserve">na nasledujúcich dokladoch: pracovná zmluva, doklad o úhrade, </w:t>
      </w:r>
      <w:r w:rsidR="001638BE" w:rsidRPr="00A95FED">
        <w:rPr>
          <w:rFonts w:asciiTheme="minorHAnsi" w:hAnsiTheme="minorHAnsi"/>
          <w:sz w:val="20"/>
        </w:rPr>
        <w:t>záznam KAOZ o výkone zdravotnej mediácie v prostredí MRK na komunitnej úrovni AOZ</w:t>
      </w:r>
      <w:r w:rsidR="00211A1D">
        <w:rPr>
          <w:rFonts w:asciiTheme="minorHAnsi" w:hAnsiTheme="minorHAnsi" w:cs="Martel Sans"/>
          <w:sz w:val="20"/>
          <w:szCs w:val="20"/>
        </w:rPr>
        <w:t xml:space="preserve"> </w:t>
      </w:r>
      <w:r w:rsidR="00853A86">
        <w:rPr>
          <w:rFonts w:asciiTheme="minorHAnsi" w:hAnsiTheme="minorHAnsi" w:cs="Martel Sans"/>
          <w:sz w:val="20"/>
          <w:szCs w:val="20"/>
        </w:rPr>
        <w:t xml:space="preserve">a </w:t>
      </w:r>
      <w:r w:rsidR="00211A1D">
        <w:rPr>
          <w:rFonts w:asciiTheme="minorHAnsi" w:hAnsiTheme="minorHAnsi" w:cs="Martel Sans"/>
          <w:sz w:val="20"/>
          <w:szCs w:val="20"/>
        </w:rPr>
        <w:t>iné</w:t>
      </w:r>
      <w:r w:rsidR="00AE26C5">
        <w:rPr>
          <w:rFonts w:asciiTheme="minorHAnsi" w:hAnsiTheme="minorHAnsi" w:cs="Martel Sans"/>
          <w:sz w:val="20"/>
          <w:szCs w:val="20"/>
        </w:rPr>
        <w:t>.</w:t>
      </w:r>
    </w:p>
    <w:p w14:paraId="6D09F2EE" w14:textId="77777777" w:rsidR="00474A46" w:rsidRPr="00474A46" w:rsidRDefault="00474A46" w:rsidP="00474A46">
      <w:pPr>
        <w:jc w:val="both"/>
      </w:pPr>
      <w:r w:rsidRPr="008832DF">
        <w:rPr>
          <w:rFonts w:asciiTheme="minorHAnsi" w:hAnsiTheme="minorHAnsi" w:cs="Martel Sans"/>
          <w:sz w:val="20"/>
          <w:szCs w:val="20"/>
        </w:rPr>
        <w:t>Zjednodušené vykazovanie nákladov neznamená zrušenie povinnosti plne dodržiavať všetky uplatniteľné právne predpisy EÚ a vnútroštátne právne predpisy SR.</w:t>
      </w:r>
    </w:p>
    <w:p w14:paraId="6D09F2EF" w14:textId="77777777" w:rsidR="00A95FED" w:rsidRDefault="00474A46" w:rsidP="00474A46">
      <w:pPr>
        <w:pStyle w:val="Nadpis1"/>
      </w:pPr>
      <w:bookmarkStart w:id="19" w:name="_Toc484702503"/>
      <w:r w:rsidRPr="0080607E">
        <w:t>Prílohy ŠSJN</w:t>
      </w:r>
      <w:bookmarkEnd w:id="19"/>
    </w:p>
    <w:p w14:paraId="6D09F2F0" w14:textId="7C5C45F8" w:rsidR="00474A46" w:rsidRPr="00F16A14" w:rsidRDefault="00474A46" w:rsidP="00474A46">
      <w:pPr>
        <w:rPr>
          <w:rFonts w:asciiTheme="minorHAnsi" w:hAnsiTheme="minorHAnsi" w:cs="Martel Sans"/>
          <w:sz w:val="20"/>
          <w:szCs w:val="20"/>
        </w:rPr>
      </w:pPr>
      <w:r w:rsidRPr="00357CD3">
        <w:rPr>
          <w:rFonts w:asciiTheme="minorHAnsi" w:hAnsiTheme="minorHAnsi" w:cs="Martel Sans"/>
          <w:sz w:val="20"/>
          <w:szCs w:val="20"/>
        </w:rPr>
        <w:t xml:space="preserve">Príloha </w:t>
      </w:r>
      <w:r>
        <w:rPr>
          <w:rFonts w:asciiTheme="minorHAnsi" w:hAnsiTheme="minorHAnsi" w:cs="Martel Sans"/>
          <w:sz w:val="20"/>
          <w:szCs w:val="20"/>
        </w:rPr>
        <w:t xml:space="preserve">č.1 - </w:t>
      </w:r>
      <w:r w:rsidR="00363523">
        <w:rPr>
          <w:rFonts w:asciiTheme="minorHAnsi" w:hAnsiTheme="minorHAnsi" w:cs="Martel Sans"/>
          <w:sz w:val="20"/>
          <w:szCs w:val="20"/>
        </w:rPr>
        <w:t>Sumarizačný</w:t>
      </w:r>
      <w:r w:rsidRPr="00357CD3">
        <w:rPr>
          <w:rFonts w:asciiTheme="minorHAnsi" w:hAnsiTheme="minorHAnsi" w:cs="Martel Sans"/>
          <w:sz w:val="20"/>
          <w:szCs w:val="20"/>
        </w:rPr>
        <w:t xml:space="preserve"> hárok</w:t>
      </w:r>
    </w:p>
    <w:p w14:paraId="6D09F2F1" w14:textId="77777777" w:rsidR="00474A46" w:rsidRPr="00474A46" w:rsidRDefault="00474A46" w:rsidP="00474A46"/>
    <w:sectPr w:rsidR="00474A46" w:rsidRPr="00474A46">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EDCB56" w14:textId="77777777" w:rsidR="00363523" w:rsidRDefault="00363523" w:rsidP="00EE5328">
      <w:pPr>
        <w:spacing w:after="0" w:line="240" w:lineRule="auto"/>
      </w:pPr>
      <w:r>
        <w:separator/>
      </w:r>
    </w:p>
  </w:endnote>
  <w:endnote w:type="continuationSeparator" w:id="0">
    <w:p w14:paraId="536EF0E2" w14:textId="77777777" w:rsidR="00363523" w:rsidRDefault="00363523" w:rsidP="00EE5328">
      <w:pPr>
        <w:spacing w:after="0" w:line="240" w:lineRule="auto"/>
      </w:pPr>
      <w:r>
        <w:continuationSeparator/>
      </w:r>
    </w:p>
  </w:endnote>
  <w:endnote w:type="continuationNotice" w:id="1">
    <w:p w14:paraId="65A06312" w14:textId="77777777" w:rsidR="00945A19" w:rsidRDefault="00945A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Martel Sans">
    <w:panose1 w:val="00000500000000000000"/>
    <w:charset w:val="EE"/>
    <w:family w:val="auto"/>
    <w:pitch w:val="variable"/>
    <w:sig w:usb0="00008007" w:usb1="00000000" w:usb2="00000000" w:usb3="00000000" w:csb0="0000009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635224"/>
      <w:docPartObj>
        <w:docPartGallery w:val="Page Numbers (Bottom of Page)"/>
        <w:docPartUnique/>
      </w:docPartObj>
    </w:sdtPr>
    <w:sdtEndPr>
      <w:rPr>
        <w:sz w:val="20"/>
        <w:szCs w:val="20"/>
      </w:rPr>
    </w:sdtEndPr>
    <w:sdtContent>
      <w:p w14:paraId="6D09F2FB" w14:textId="52DF1E37" w:rsidR="00363523" w:rsidRPr="00D42E69" w:rsidRDefault="00363523">
        <w:pPr>
          <w:pStyle w:val="Pta"/>
          <w:jc w:val="right"/>
          <w:rPr>
            <w:sz w:val="20"/>
            <w:szCs w:val="20"/>
          </w:rPr>
        </w:pPr>
        <w:r w:rsidRPr="00D42E69">
          <w:rPr>
            <w:sz w:val="20"/>
            <w:szCs w:val="20"/>
          </w:rPr>
          <w:fldChar w:fldCharType="begin"/>
        </w:r>
        <w:r>
          <w:instrText>PAGE   \* MERGEFORMAT</w:instrText>
        </w:r>
        <w:r w:rsidRPr="00D42E69">
          <w:rPr>
            <w:sz w:val="20"/>
            <w:szCs w:val="20"/>
          </w:rPr>
          <w:fldChar w:fldCharType="separate"/>
        </w:r>
        <w:r w:rsidR="001638BE">
          <w:rPr>
            <w:noProof/>
          </w:rPr>
          <w:t>1</w:t>
        </w:r>
        <w:r w:rsidRPr="00D42E69">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FF62A8" w14:textId="77777777" w:rsidR="00363523" w:rsidRDefault="00363523" w:rsidP="00EE5328">
      <w:pPr>
        <w:spacing w:after="0" w:line="240" w:lineRule="auto"/>
      </w:pPr>
      <w:r>
        <w:separator/>
      </w:r>
    </w:p>
  </w:footnote>
  <w:footnote w:type="continuationSeparator" w:id="0">
    <w:p w14:paraId="4CEF08A7" w14:textId="77777777" w:rsidR="00363523" w:rsidRDefault="00363523" w:rsidP="00EE5328">
      <w:pPr>
        <w:spacing w:after="0" w:line="240" w:lineRule="auto"/>
      </w:pPr>
      <w:r>
        <w:continuationSeparator/>
      </w:r>
    </w:p>
  </w:footnote>
  <w:footnote w:type="continuationNotice" w:id="1">
    <w:p w14:paraId="72A91303" w14:textId="77777777" w:rsidR="00945A19" w:rsidRDefault="00945A19">
      <w:pPr>
        <w:spacing w:after="0" w:line="240" w:lineRule="auto"/>
      </w:pPr>
    </w:p>
  </w:footnote>
  <w:footnote w:id="2">
    <w:p w14:paraId="6D09F2FD" w14:textId="77777777" w:rsidR="00363523" w:rsidRDefault="00363523" w:rsidP="00713338">
      <w:pPr>
        <w:pStyle w:val="Textpoznmkypodiarou"/>
        <w:ind w:left="142" w:hanging="142"/>
        <w:jc w:val="both"/>
      </w:pPr>
      <w:r>
        <w:rPr>
          <w:rStyle w:val="Odkaznapoznmkupodiarou"/>
        </w:rPr>
        <w:footnoteRef/>
      </w:r>
      <w:r>
        <w:t xml:space="preserve"> </w:t>
      </w:r>
      <w:r w:rsidRPr="00C41116">
        <w:rPr>
          <w:sz w:val="16"/>
          <w:szCs w:val="18"/>
        </w:rPr>
        <w:t>Nariadenie Európskeho parlamentu a Rady (EÚ) č. 1303/2013 zo 17. decembra 2013 ,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3">
    <w:p w14:paraId="6D09F2FE" w14:textId="77777777" w:rsidR="00363523" w:rsidRPr="00C41116" w:rsidRDefault="00363523" w:rsidP="00EE5328">
      <w:pPr>
        <w:pStyle w:val="Textpoznmkypodiarou"/>
        <w:jc w:val="both"/>
        <w:rPr>
          <w:rFonts w:asciiTheme="minorHAnsi" w:hAnsiTheme="minorHAnsi" w:cstheme="minorHAnsi"/>
          <w:sz w:val="16"/>
          <w:szCs w:val="18"/>
        </w:rPr>
      </w:pPr>
      <w:r w:rsidRPr="00C41116">
        <w:rPr>
          <w:rFonts w:asciiTheme="minorHAnsi" w:hAnsiTheme="minorHAnsi" w:cstheme="minorHAnsi"/>
          <w:sz w:val="16"/>
          <w:szCs w:val="18"/>
          <w:vertAlign w:val="superscript"/>
        </w:rPr>
        <w:footnoteRef/>
      </w:r>
      <w:r>
        <w:rPr>
          <w:rFonts w:asciiTheme="minorHAnsi" w:hAnsiTheme="minorHAnsi" w:cstheme="minorHAnsi"/>
          <w:sz w:val="16"/>
          <w:szCs w:val="18"/>
        </w:rPr>
        <w:t xml:space="preserve">   </w:t>
      </w:r>
      <w:r w:rsidRPr="00C41116">
        <w:rPr>
          <w:rFonts w:asciiTheme="minorHAnsi" w:hAnsiTheme="minorHAnsi" w:cstheme="minorHAnsi"/>
          <w:sz w:val="16"/>
          <w:szCs w:val="18"/>
        </w:rPr>
        <w:t>Ministerstvo vnútra Slovenskej republiky</w:t>
      </w:r>
    </w:p>
  </w:footnote>
  <w:footnote w:id="4">
    <w:p w14:paraId="6D09F2FF" w14:textId="77777777" w:rsidR="00363523" w:rsidRDefault="00363523" w:rsidP="00713338">
      <w:pPr>
        <w:pStyle w:val="Textpoznmkypodiarou"/>
        <w:ind w:left="142" w:hanging="142"/>
      </w:pPr>
      <w:r>
        <w:rPr>
          <w:rStyle w:val="Odkaznapoznmkupodiarou"/>
        </w:rPr>
        <w:footnoteRef/>
      </w:r>
      <w:r>
        <w:t xml:space="preserve">  </w:t>
      </w:r>
      <w:r w:rsidRPr="00C41116">
        <w:rPr>
          <w:rFonts w:asciiTheme="minorHAnsi" w:hAnsiTheme="minorHAnsi" w:cstheme="minorHAnsi"/>
          <w:sz w:val="16"/>
          <w:szCs w:val="18"/>
        </w:rPr>
        <w:t>Zákon č. 311/2001 Z.z. Zákonník práce v znení neskorších predpisov (ďalej len „Zákonník práce“)</w:t>
      </w:r>
      <w:r>
        <w:rPr>
          <w:rFonts w:asciiTheme="minorHAnsi" w:hAnsiTheme="minorHAnsi" w:cstheme="minorHAnsi"/>
          <w:sz w:val="16"/>
          <w:szCs w:val="18"/>
        </w:rPr>
        <w:t>.</w:t>
      </w:r>
    </w:p>
  </w:footnote>
  <w:footnote w:id="5">
    <w:p w14:paraId="6D09F300" w14:textId="77777777" w:rsidR="00363523" w:rsidRDefault="00363523" w:rsidP="00713338">
      <w:pPr>
        <w:pStyle w:val="Textpoznmkypodiarou"/>
        <w:ind w:left="142" w:hanging="142"/>
        <w:jc w:val="both"/>
      </w:pPr>
      <w:r>
        <w:rPr>
          <w:rStyle w:val="Odkaznapoznmkupodiarou"/>
        </w:rPr>
        <w:footnoteRef/>
      </w:r>
      <w:r>
        <w:t xml:space="preserve"> </w:t>
      </w:r>
      <w:r w:rsidRPr="000C0075">
        <w:rPr>
          <w:rFonts w:asciiTheme="minorHAnsi" w:hAnsiTheme="minorHAnsi" w:cstheme="minorHAnsi"/>
          <w:sz w:val="16"/>
          <w:szCs w:val="18"/>
        </w:rPr>
        <w:t>Novela zákona č. 580/2004 Z.z. o zdravotnom poistení a o zmene a doplnení niektorých zákonov v znení neskorších predpisov (ďalej len „zákon o zdravotnom poistení“), ktorá nadobudla účinnosť od 1. januára 2015.</w:t>
      </w:r>
    </w:p>
  </w:footnote>
  <w:footnote w:id="6">
    <w:p w14:paraId="6D09F303" w14:textId="7E9A002F" w:rsidR="00363523" w:rsidRPr="000C0075" w:rsidRDefault="00363523" w:rsidP="00713338">
      <w:pPr>
        <w:pStyle w:val="Textpoznmkypodiarou"/>
        <w:rPr>
          <w:sz w:val="16"/>
          <w:szCs w:val="16"/>
        </w:rPr>
      </w:pPr>
      <w:r w:rsidRPr="0037412B">
        <w:rPr>
          <w:sz w:val="18"/>
          <w:szCs w:val="18"/>
          <w:vertAlign w:val="superscript"/>
        </w:rPr>
        <w:footnoteRef/>
      </w:r>
      <w:r>
        <w:rPr>
          <w:sz w:val="18"/>
          <w:szCs w:val="18"/>
        </w:rPr>
        <w:t xml:space="preserve"> </w:t>
      </w:r>
      <w:r w:rsidRPr="000C0075">
        <w:rPr>
          <w:sz w:val="16"/>
          <w:szCs w:val="16"/>
        </w:rPr>
        <w:t>Do účinnosti Zmluvy o NFP môže SO akceptovať nedodržanie danej podmienky za ďalších podmienok ním stanovených.</w:t>
      </w:r>
    </w:p>
  </w:footnote>
  <w:footnote w:id="7">
    <w:p w14:paraId="6D09F304" w14:textId="3D2DF150" w:rsidR="00363523" w:rsidRDefault="00363523" w:rsidP="00A95FED">
      <w:pPr>
        <w:pStyle w:val="Textpoznmkypodiarou"/>
        <w:ind w:left="142" w:hanging="142"/>
      </w:pPr>
      <w:r>
        <w:rPr>
          <w:rStyle w:val="Odkaznapoznmkupodiarou"/>
        </w:rPr>
        <w:footnoteRef/>
      </w:r>
      <w:r>
        <w:t xml:space="preserve"> </w:t>
      </w:r>
      <w:r w:rsidRPr="00365354">
        <w:rPr>
          <w:sz w:val="16"/>
          <w:szCs w:val="18"/>
        </w:rPr>
        <w:t>Prijímateľ návrh dokumentov pred ich aplikáciou predkladá SO.</w:t>
      </w:r>
    </w:p>
  </w:footnote>
  <w:footnote w:id="8">
    <w:p w14:paraId="6D09F305" w14:textId="77777777" w:rsidR="00363523" w:rsidRPr="00365354" w:rsidRDefault="00363523" w:rsidP="00A95FED">
      <w:pPr>
        <w:pStyle w:val="Textpoznmkypodiarou"/>
        <w:ind w:left="142" w:hanging="142"/>
        <w:jc w:val="both"/>
        <w:rPr>
          <w:rFonts w:asciiTheme="minorHAnsi" w:hAnsiTheme="minorHAnsi" w:cs="Martel Sans"/>
          <w:sz w:val="16"/>
          <w:szCs w:val="18"/>
        </w:rPr>
      </w:pPr>
      <w:r>
        <w:rPr>
          <w:rStyle w:val="Odkaznapoznmkupodiarou"/>
        </w:rPr>
        <w:footnoteRef/>
      </w:r>
      <w:r>
        <w:t xml:space="preserve"> </w:t>
      </w:r>
      <w:r w:rsidRPr="00365354">
        <w:rPr>
          <w:rFonts w:asciiTheme="minorHAnsi" w:hAnsiTheme="minorHAnsi" w:cs="Martel Sans"/>
          <w:sz w:val="16"/>
          <w:szCs w:val="18"/>
        </w:rPr>
        <w:t>V zmysle § 19 ods. 2 zákona č. 245/2008 Z.z. o výchove a vzdelávaní (školský zákon) a o zmene a doplnení niektorých zákonov je povinná školská dochádzka desaťročná a trvá najviac do konca školského roka, v ktorom žiak dovŕši 16. rok veku.</w:t>
      </w:r>
    </w:p>
    <w:p w14:paraId="6D09F306" w14:textId="77777777" w:rsidR="00363523" w:rsidRDefault="00363523" w:rsidP="00A95FED">
      <w:pPr>
        <w:pStyle w:val="Textpoznmkypodiarou"/>
        <w:ind w:left="142"/>
        <w:jc w:val="both"/>
      </w:pPr>
      <w:r w:rsidRPr="00365354">
        <w:rPr>
          <w:rFonts w:asciiTheme="minorHAnsi" w:hAnsiTheme="minorHAnsi" w:cs="Martel Sans"/>
          <w:sz w:val="16"/>
          <w:szCs w:val="18"/>
        </w:rPr>
        <w:t>Podľa § 34 ods. 3 zákona č. 29/1984 Zb. o sústave základných a stredných škôl (školský zákon) v znení neskorších predpisov povinná školská dochádzka je desaťročná a trvá najdlhšie do konca školského roku, v ktorom žiak dovŕšil 16 rokov veku, ak tento zákon neustanovuje inak (§ 61a ods. 1). Absolvovanie nultého ročníka v základnej škole sa považuje ako prvý rok plnenia povinnej školskej dochádzky. (ustanovenie je platné a účinné od 1.9.1984 do 31.8.2008).Podľa § 5 ods. 3 zákona č. 186/1960 Zb. o sústave výchovy a vzdelávania (školský zákon) v znení neskorších predpisov povinná školská dochádzka trvá deväť rokov a začína sa začiatkom školského roku, ktorý nasleduje po dni, keď dieťa dovŕši šesť rokov veku. (ustanovenie platné a účinné od 28.12.1960 do 31.8.1984).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9661C3"/>
    <w:multiLevelType w:val="hybridMultilevel"/>
    <w:tmpl w:val="A3EC0FBC"/>
    <w:lvl w:ilvl="0" w:tplc="7F6E25C4">
      <w:start w:val="1"/>
      <w:numFmt w:val="decimal"/>
      <w:pStyle w:val="Nadpis2"/>
      <w:lvlText w:val="2.%1."/>
      <w:lvlJc w:val="left"/>
      <w:pPr>
        <w:ind w:left="1145" w:hanging="360"/>
      </w:pPr>
      <w:rPr>
        <w:rFonts w:ascii="Calibri" w:hAnsi="Calibri" w:hint="default"/>
        <w:b/>
        <w:bCs w:val="0"/>
        <w:i w:val="0"/>
        <w:iCs w:val="0"/>
        <w:caps w:val="0"/>
        <w:strike w:val="0"/>
        <w:dstrike w:val="0"/>
        <w:vanish w:val="0"/>
        <w:color w:val="000000"/>
        <w:spacing w:val="0"/>
        <w:kern w:val="0"/>
        <w:position w:val="0"/>
        <w:sz w:val="22"/>
        <w:szCs w:val="24"/>
        <w:u w:val="none"/>
        <w:effect w:val="none"/>
        <w:vertAlign w:val="baseline"/>
        <w:em w:val="none"/>
      </w:r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1">
    <w:nsid w:val="198700EE"/>
    <w:multiLevelType w:val="hybridMultilevel"/>
    <w:tmpl w:val="8EFCD948"/>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2">
    <w:nsid w:val="227E02BF"/>
    <w:multiLevelType w:val="hybridMultilevel"/>
    <w:tmpl w:val="06C4117A"/>
    <w:lvl w:ilvl="0" w:tplc="5DFADE18">
      <w:numFmt w:val="bullet"/>
      <w:lvlText w:val="-"/>
      <w:lvlJc w:val="left"/>
      <w:pPr>
        <w:ind w:left="1429" w:hanging="360"/>
      </w:pPr>
      <w:rPr>
        <w:rFonts w:ascii="Calibri" w:eastAsia="Calibri" w:hAnsi="Calibri" w:cs="Calibri"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
    <w:nsid w:val="27907DBF"/>
    <w:multiLevelType w:val="hybridMultilevel"/>
    <w:tmpl w:val="50F8905C"/>
    <w:lvl w:ilvl="0" w:tplc="7EE0F6F2">
      <w:start w:val="1"/>
      <w:numFmt w:val="decimal"/>
      <w:lvlText w:val="%1."/>
      <w:lvlJc w:val="left"/>
      <w:pPr>
        <w:ind w:left="36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9DC1724"/>
    <w:multiLevelType w:val="hybridMultilevel"/>
    <w:tmpl w:val="B94C37EA"/>
    <w:lvl w:ilvl="0" w:tplc="041B0017">
      <w:start w:val="1"/>
      <w:numFmt w:val="lowerLetter"/>
      <w:lvlText w:val="%1)"/>
      <w:lvlJc w:val="left"/>
      <w:pPr>
        <w:ind w:left="720" w:hanging="360"/>
      </w:pPr>
      <w:rPr>
        <w:rFonts w:hint="default"/>
      </w:rPr>
    </w:lvl>
    <w:lvl w:ilvl="1" w:tplc="5DFADE18">
      <w:numFmt w:val="bullet"/>
      <w:lvlText w:val="-"/>
      <w:lvlJc w:val="left"/>
      <w:pPr>
        <w:ind w:left="1935" w:hanging="855"/>
      </w:pPr>
      <w:rPr>
        <w:rFonts w:ascii="Calibri" w:eastAsia="Calibri"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2A5D6614"/>
    <w:multiLevelType w:val="hybridMultilevel"/>
    <w:tmpl w:val="155E294A"/>
    <w:lvl w:ilvl="0" w:tplc="64709BF6">
      <w:start w:val="1"/>
      <w:numFmt w:val="decimal"/>
      <w:lvlText w:val="%1."/>
      <w:lvlJc w:val="left"/>
      <w:pPr>
        <w:ind w:left="36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30DF0A2A"/>
    <w:multiLevelType w:val="hybridMultilevel"/>
    <w:tmpl w:val="7842DB26"/>
    <w:lvl w:ilvl="0" w:tplc="FBBE4CC4">
      <w:start w:val="1"/>
      <w:numFmt w:val="decimal"/>
      <w:pStyle w:val="Nadpis1"/>
      <w:lvlText w:val="%1."/>
      <w:lvlJc w:val="left"/>
      <w:pPr>
        <w:ind w:left="36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39CE49FA"/>
    <w:multiLevelType w:val="hybridMultilevel"/>
    <w:tmpl w:val="D59C3A1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
    <w:nsid w:val="3FB41031"/>
    <w:multiLevelType w:val="hybridMultilevel"/>
    <w:tmpl w:val="B23EA3CC"/>
    <w:lvl w:ilvl="0" w:tplc="5DFADE18">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42C6747D"/>
    <w:multiLevelType w:val="hybridMultilevel"/>
    <w:tmpl w:val="43AA2308"/>
    <w:lvl w:ilvl="0" w:tplc="5DFADE18">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52606C59"/>
    <w:multiLevelType w:val="hybridMultilevel"/>
    <w:tmpl w:val="702EF3B2"/>
    <w:lvl w:ilvl="0" w:tplc="8AB4B51E">
      <w:start w:val="1"/>
      <w:numFmt w:val="decimal"/>
      <w:lvlText w:val="%1."/>
      <w:lvlJc w:val="left"/>
      <w:pPr>
        <w:ind w:left="36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545635C3"/>
    <w:multiLevelType w:val="hybridMultilevel"/>
    <w:tmpl w:val="52F887F0"/>
    <w:lvl w:ilvl="0" w:tplc="5DFADE18">
      <w:numFmt w:val="bullet"/>
      <w:lvlText w:val="-"/>
      <w:lvlJc w:val="left"/>
      <w:pPr>
        <w:ind w:left="720" w:hanging="360"/>
      </w:pPr>
      <w:rPr>
        <w:rFonts w:ascii="Calibri" w:eastAsia="Calibri" w:hAnsi="Calibri" w:cs="Calibri" w:hint="default"/>
      </w:rPr>
    </w:lvl>
    <w:lvl w:ilvl="1" w:tplc="5DFADE18">
      <w:numFmt w:val="bullet"/>
      <w:lvlText w:val="-"/>
      <w:lvlJc w:val="left"/>
      <w:pPr>
        <w:ind w:left="1440" w:hanging="360"/>
      </w:pPr>
      <w:rPr>
        <w:rFonts w:ascii="Calibri" w:eastAsia="Calibri"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54EF1688"/>
    <w:multiLevelType w:val="hybridMultilevel"/>
    <w:tmpl w:val="F4F4B7A8"/>
    <w:lvl w:ilvl="0" w:tplc="1578F4C8">
      <w:start w:val="1"/>
      <w:numFmt w:val="decimal"/>
      <w:lvlText w:val="%1."/>
      <w:lvlJc w:val="left"/>
      <w:pPr>
        <w:ind w:left="36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lvlOverride w:ilvl="0">
      <w:startOverride w:val="1"/>
    </w:lvlOverride>
  </w:num>
  <w:num w:numId="2">
    <w:abstractNumId w:val="5"/>
  </w:num>
  <w:num w:numId="3">
    <w:abstractNumId w:val="10"/>
  </w:num>
  <w:num w:numId="4">
    <w:abstractNumId w:val="12"/>
  </w:num>
  <w:num w:numId="5">
    <w:abstractNumId w:val="6"/>
  </w:num>
  <w:num w:numId="6">
    <w:abstractNumId w:val="3"/>
  </w:num>
  <w:num w:numId="7">
    <w:abstractNumId w:val="0"/>
  </w:num>
  <w:num w:numId="8">
    <w:abstractNumId w:val="1"/>
  </w:num>
  <w:num w:numId="9">
    <w:abstractNumId w:val="4"/>
  </w:num>
  <w:num w:numId="10">
    <w:abstractNumId w:val="7"/>
  </w:num>
  <w:num w:numId="11">
    <w:abstractNumId w:val="8"/>
  </w:num>
  <w:num w:numId="12">
    <w:abstractNumId w:val="11"/>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328"/>
    <w:rsid w:val="000A1F7D"/>
    <w:rsid w:val="001638BE"/>
    <w:rsid w:val="00211A1D"/>
    <w:rsid w:val="002503FC"/>
    <w:rsid w:val="002B0764"/>
    <w:rsid w:val="002D513E"/>
    <w:rsid w:val="002E6C48"/>
    <w:rsid w:val="00363523"/>
    <w:rsid w:val="00474A46"/>
    <w:rsid w:val="00492387"/>
    <w:rsid w:val="004D6FE7"/>
    <w:rsid w:val="005B39D3"/>
    <w:rsid w:val="00681462"/>
    <w:rsid w:val="00713338"/>
    <w:rsid w:val="007667E1"/>
    <w:rsid w:val="00801732"/>
    <w:rsid w:val="00807344"/>
    <w:rsid w:val="00853A86"/>
    <w:rsid w:val="00945A19"/>
    <w:rsid w:val="00961E42"/>
    <w:rsid w:val="009A61DA"/>
    <w:rsid w:val="00A539B8"/>
    <w:rsid w:val="00A95FED"/>
    <w:rsid w:val="00AB0160"/>
    <w:rsid w:val="00AE26C5"/>
    <w:rsid w:val="00C13E20"/>
    <w:rsid w:val="00C74CD8"/>
    <w:rsid w:val="00D42E69"/>
    <w:rsid w:val="00EE5328"/>
    <w:rsid w:val="00FA472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9F232"/>
  <w15:chartTrackingRefBased/>
  <w15:docId w15:val="{4774746A-4E8D-434F-93F8-B457289EE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E5328"/>
    <w:pPr>
      <w:spacing w:after="200" w:line="276" w:lineRule="auto"/>
    </w:pPr>
    <w:rPr>
      <w:rFonts w:ascii="Calibri" w:eastAsia="Calibri" w:hAnsi="Calibri" w:cs="Times New Roman"/>
    </w:rPr>
  </w:style>
  <w:style w:type="paragraph" w:styleId="Nadpis1">
    <w:name w:val="heading 1"/>
    <w:basedOn w:val="Normlny"/>
    <w:next w:val="Normlny"/>
    <w:link w:val="Nadpis1Char"/>
    <w:uiPriority w:val="99"/>
    <w:qFormat/>
    <w:rsid w:val="00713338"/>
    <w:pPr>
      <w:keepNext/>
      <w:numPr>
        <w:numId w:val="5"/>
      </w:numPr>
      <w:spacing w:before="240" w:after="120"/>
      <w:ind w:left="425" w:hanging="425"/>
      <w:outlineLvl w:val="0"/>
    </w:pPr>
    <w:rPr>
      <w:rFonts w:asciiTheme="minorHAnsi" w:eastAsia="Times New Roman" w:hAnsiTheme="minorHAnsi"/>
      <w:b/>
      <w:bCs/>
      <w:kern w:val="32"/>
      <w:sz w:val="24"/>
      <w:szCs w:val="32"/>
    </w:rPr>
  </w:style>
  <w:style w:type="paragraph" w:styleId="Nadpis2">
    <w:name w:val="heading 2"/>
    <w:basedOn w:val="Normlny"/>
    <w:next w:val="Normlny"/>
    <w:link w:val="Nadpis2Char"/>
    <w:uiPriority w:val="9"/>
    <w:unhideWhenUsed/>
    <w:qFormat/>
    <w:rsid w:val="00713338"/>
    <w:pPr>
      <w:keepNext/>
      <w:keepLines/>
      <w:numPr>
        <w:numId w:val="7"/>
      </w:numPr>
      <w:spacing w:before="240" w:after="120"/>
      <w:ind w:left="425" w:hanging="425"/>
      <w:outlineLvl w:val="1"/>
    </w:pPr>
    <w:rPr>
      <w:rFonts w:asciiTheme="minorHAnsi" w:eastAsiaTheme="majorEastAsia" w:hAnsiTheme="minorHAnsi" w:cstheme="majorBidi"/>
      <w:b/>
      <w:color w:val="000000" w:themeColor="text1"/>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bsah1">
    <w:name w:val="toc 1"/>
    <w:basedOn w:val="Normlny"/>
    <w:next w:val="Normlny"/>
    <w:autoRedefine/>
    <w:uiPriority w:val="39"/>
    <w:unhideWhenUsed/>
    <w:rsid w:val="00474A46"/>
    <w:pPr>
      <w:tabs>
        <w:tab w:val="left" w:pos="440"/>
        <w:tab w:val="right" w:leader="dot" w:pos="9060"/>
      </w:tabs>
      <w:spacing w:after="120"/>
      <w:ind w:left="284" w:hanging="284"/>
    </w:pPr>
  </w:style>
  <w:style w:type="character" w:styleId="Hypertextovprepojenie">
    <w:name w:val="Hyperlink"/>
    <w:basedOn w:val="Predvolenpsmoodseku"/>
    <w:uiPriority w:val="99"/>
    <w:unhideWhenUsed/>
    <w:rsid w:val="00EE5328"/>
    <w:rPr>
      <w:color w:val="0000FF"/>
      <w:u w:val="single"/>
    </w:rPr>
  </w:style>
  <w:style w:type="paragraph" w:styleId="Obsah2">
    <w:name w:val="toc 2"/>
    <w:basedOn w:val="Normlny"/>
    <w:next w:val="Normlny"/>
    <w:autoRedefine/>
    <w:uiPriority w:val="39"/>
    <w:unhideWhenUsed/>
    <w:rsid w:val="00474A46"/>
    <w:pPr>
      <w:tabs>
        <w:tab w:val="left" w:pos="880"/>
        <w:tab w:val="right" w:leader="dot" w:pos="9060"/>
      </w:tabs>
      <w:spacing w:after="100"/>
      <w:ind w:left="284"/>
    </w:pPr>
  </w:style>
  <w:style w:type="character" w:customStyle="1" w:styleId="Nadpis1Char">
    <w:name w:val="Nadpis 1 Char"/>
    <w:basedOn w:val="Predvolenpsmoodseku"/>
    <w:link w:val="Nadpis1"/>
    <w:uiPriority w:val="99"/>
    <w:rsid w:val="00713338"/>
    <w:rPr>
      <w:rFonts w:eastAsia="Times New Roman" w:cs="Times New Roman"/>
      <w:b/>
      <w:bCs/>
      <w:kern w:val="32"/>
      <w:sz w:val="24"/>
      <w:szCs w:val="32"/>
    </w:rPr>
  </w:style>
  <w:style w:type="paragraph" w:styleId="Textpoznmkypodiarou">
    <w:name w:val="footnote text"/>
    <w:aliases w:val="Text poznámky pod čiarou 007"/>
    <w:basedOn w:val="Normlny"/>
    <w:link w:val="TextpoznmkypodiarouChar"/>
    <w:uiPriority w:val="99"/>
    <w:unhideWhenUsed/>
    <w:rsid w:val="00EE5328"/>
    <w:pPr>
      <w:spacing w:after="0" w:line="240" w:lineRule="auto"/>
    </w:pPr>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rsid w:val="00EE5328"/>
    <w:rPr>
      <w:rFonts w:ascii="Calibri" w:eastAsia="Calibri" w:hAnsi="Calibri" w:cs="Times New Roman"/>
      <w:sz w:val="20"/>
      <w:szCs w:val="20"/>
    </w:rPr>
  </w:style>
  <w:style w:type="character" w:styleId="Odkaznapoznmkupodiarou">
    <w:name w:val="footnote reference"/>
    <w:basedOn w:val="Predvolenpsmoodseku"/>
    <w:uiPriority w:val="99"/>
    <w:unhideWhenUsed/>
    <w:rsid w:val="00EE5328"/>
    <w:rPr>
      <w:vertAlign w:val="superscript"/>
    </w:rPr>
  </w:style>
  <w:style w:type="paragraph" w:styleId="Bezriadkovania">
    <w:name w:val="No Spacing"/>
    <w:uiPriority w:val="99"/>
    <w:qFormat/>
    <w:rsid w:val="00EE5328"/>
    <w:pPr>
      <w:spacing w:after="0" w:line="240" w:lineRule="auto"/>
    </w:pPr>
    <w:rPr>
      <w:rFonts w:ascii="Calibri" w:eastAsia="Calibri" w:hAnsi="Calibri" w:cs="Times New Roman"/>
    </w:rPr>
  </w:style>
  <w:style w:type="character" w:customStyle="1" w:styleId="Nadpis2Char">
    <w:name w:val="Nadpis 2 Char"/>
    <w:basedOn w:val="Predvolenpsmoodseku"/>
    <w:link w:val="Nadpis2"/>
    <w:uiPriority w:val="9"/>
    <w:rsid w:val="00713338"/>
    <w:rPr>
      <w:rFonts w:eastAsiaTheme="majorEastAsia" w:cstheme="majorBidi"/>
      <w:b/>
      <w:color w:val="000000" w:themeColor="text1"/>
      <w:szCs w:val="26"/>
    </w:rPr>
  </w:style>
  <w:style w:type="paragraph" w:styleId="Odsekzoznamu">
    <w:name w:val="List Paragraph"/>
    <w:aliases w:val="body,Odsek zoznamu2,Odsek zoznamu1,List Paragraph"/>
    <w:basedOn w:val="Normlny"/>
    <w:link w:val="OdsekzoznamuChar"/>
    <w:uiPriority w:val="99"/>
    <w:qFormat/>
    <w:rsid w:val="00713338"/>
    <w:pPr>
      <w:ind w:left="720"/>
      <w:contextualSpacing/>
    </w:pPr>
  </w:style>
  <w:style w:type="character" w:customStyle="1" w:styleId="OdsekzoznamuChar">
    <w:name w:val="Odsek zoznamu Char"/>
    <w:aliases w:val="body Char,Odsek zoznamu2 Char,Odsek zoznamu1 Char,List Paragraph Char"/>
    <w:link w:val="Odsekzoznamu"/>
    <w:uiPriority w:val="99"/>
    <w:locked/>
    <w:rsid w:val="00713338"/>
    <w:rPr>
      <w:rFonts w:ascii="Calibri" w:eastAsia="Calibri" w:hAnsi="Calibri" w:cs="Times New Roman"/>
    </w:rPr>
  </w:style>
  <w:style w:type="paragraph" w:styleId="Hlavika">
    <w:name w:val="header"/>
    <w:basedOn w:val="Normlny"/>
    <w:link w:val="HlavikaChar"/>
    <w:uiPriority w:val="99"/>
    <w:unhideWhenUsed/>
    <w:rsid w:val="00A95FE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95FED"/>
    <w:rPr>
      <w:rFonts w:ascii="Calibri" w:eastAsia="Calibri" w:hAnsi="Calibri" w:cs="Times New Roman"/>
    </w:rPr>
  </w:style>
  <w:style w:type="paragraph" w:styleId="Pta">
    <w:name w:val="footer"/>
    <w:basedOn w:val="Normlny"/>
    <w:link w:val="PtaChar"/>
    <w:uiPriority w:val="99"/>
    <w:unhideWhenUsed/>
    <w:rsid w:val="00474A46"/>
    <w:pPr>
      <w:tabs>
        <w:tab w:val="center" w:pos="4536"/>
        <w:tab w:val="right" w:pos="9072"/>
      </w:tabs>
      <w:spacing w:after="0" w:line="240" w:lineRule="auto"/>
    </w:pPr>
  </w:style>
  <w:style w:type="character" w:customStyle="1" w:styleId="PtaChar">
    <w:name w:val="Päta Char"/>
    <w:basedOn w:val="Predvolenpsmoodseku"/>
    <w:link w:val="Pta"/>
    <w:uiPriority w:val="99"/>
    <w:rsid w:val="00474A46"/>
    <w:rPr>
      <w:rFonts w:ascii="Calibri" w:eastAsia="Calibri" w:hAnsi="Calibri" w:cs="Times New Roman"/>
    </w:rPr>
  </w:style>
  <w:style w:type="paragraph" w:styleId="Textbubliny">
    <w:name w:val="Balloon Text"/>
    <w:basedOn w:val="Normlny"/>
    <w:link w:val="TextbublinyChar"/>
    <w:uiPriority w:val="99"/>
    <w:semiHidden/>
    <w:unhideWhenUsed/>
    <w:rsid w:val="00AE26C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E26C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22BA937E6F0C6489E8E442008F9A37D" ma:contentTypeVersion="0" ma:contentTypeDescription="Umožňuje vytvoriť nový dokument." ma:contentTypeScope="" ma:versionID="2712b22bb6a2608d54f3b67cbc79a58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08BC8-9737-4A17-9B8E-F4C8DE11BA21}">
  <ds:schemaRefs>
    <ds:schemaRef ds:uri="http://schemas.microsoft.com/office/2006/documentManagement/types"/>
    <ds:schemaRef ds:uri="http://schemas.microsoft.com/office/infopath/2007/PartnerControls"/>
    <ds:schemaRef ds:uri="http://purl.org/dc/elements/1.1/"/>
    <ds:schemaRef ds:uri="http://www.w3.org/XML/1998/namespace"/>
    <ds:schemaRef ds:uri="http://purl.org/dc/term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675F9C2E-A359-47B5-806F-B7A24B933770}">
  <ds:schemaRefs>
    <ds:schemaRef ds:uri="http://schemas.microsoft.com/sharepoint/v3/contenttype/forms"/>
  </ds:schemaRefs>
</ds:datastoreItem>
</file>

<file path=customXml/itemProps3.xml><?xml version="1.0" encoding="utf-8"?>
<ds:datastoreItem xmlns:ds="http://schemas.openxmlformats.org/officeDocument/2006/customXml" ds:itemID="{C3A06E23-C568-4D74-9093-A2E26D1520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FB099A8-51B5-4FDA-8C6E-0819193AE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7</Pages>
  <Words>2199</Words>
  <Characters>12536</Characters>
  <Application>Microsoft Office Word</Application>
  <DocSecurity>0</DocSecurity>
  <Lines>104</Lines>
  <Paragraphs>29</Paragraphs>
  <ScaleCrop>false</ScaleCrop>
  <HeadingPairs>
    <vt:vector size="2" baseType="variant">
      <vt:variant>
        <vt:lpstr>Názov</vt:lpstr>
      </vt:variant>
      <vt:variant>
        <vt:i4>1</vt:i4>
      </vt:variant>
    </vt:vector>
  </HeadingPairs>
  <TitlesOfParts>
    <vt:vector size="1" baseType="lpstr">
      <vt:lpstr/>
    </vt:vector>
  </TitlesOfParts>
  <Company>Ministerstvo Vnutra SR</Company>
  <LinksUpToDate>false</LinksUpToDate>
  <CharactersWithSpaces>14706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OINP 2</dc:creator>
  <cp:keywords/>
  <dc:description/>
  <cp:lastModifiedBy>metodika OIMRK</cp:lastModifiedBy>
  <cp:revision>17</cp:revision>
  <dcterms:created xsi:type="dcterms:W3CDTF">2017-06-08T13:37:00Z</dcterms:created>
  <dcterms:modified xsi:type="dcterms:W3CDTF">2017-06-28T08:08:00Z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0x010100122BA937E6F0C6489E8E442008F9A37D</vt:lpwstr>
  </property>
</Properties>
</file>